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928" w14:textId="4605811D" w:rsidR="0081223B" w:rsidRPr="00B461A3" w:rsidRDefault="0081223B" w:rsidP="0040452E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CaixaBank impulsa el emprendimiento rural</w:t>
      </w:r>
      <w:r w:rsidR="00353590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en</w:t>
      </w:r>
      <w:r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B866B7"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La Rioja</w:t>
      </w:r>
      <w:r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junto a </w:t>
      </w:r>
      <w:r w:rsidR="00D95CD2"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tres</w:t>
      </w:r>
      <w:r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Grupos de Desarrollo Rural</w:t>
      </w:r>
      <w:r w:rsidR="001B1E48"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con el programa </w:t>
      </w:r>
      <w:r w:rsidR="00C02EF2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‘</w:t>
      </w:r>
      <w:r w:rsidR="001B1E48" w:rsidRPr="00B461A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Tierra de Oportunidades</w:t>
      </w:r>
      <w:r w:rsidR="00C02EF2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’</w:t>
      </w:r>
    </w:p>
    <w:p w14:paraId="66CAF241" w14:textId="77777777" w:rsidR="001E4FCE" w:rsidRPr="00B461A3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04811FE6" w14:textId="10E09FCF" w:rsidR="0081223B" w:rsidRPr="00B461A3" w:rsidRDefault="00C91D75" w:rsidP="0081223B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61A3">
        <w:rPr>
          <w:rFonts w:ascii="Arial" w:hAnsi="Arial" w:cs="Arial"/>
          <w:b/>
          <w:bCs/>
          <w:i/>
          <w:iCs/>
          <w:sz w:val="24"/>
          <w:szCs w:val="24"/>
        </w:rPr>
        <w:t>La entidad financiera</w:t>
      </w:r>
      <w:r w:rsidR="0081223B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 firma </w:t>
      </w:r>
      <w:r w:rsidR="00B866B7" w:rsidRPr="00B461A3">
        <w:rPr>
          <w:rFonts w:ascii="Arial" w:hAnsi="Arial" w:cs="Arial"/>
          <w:b/>
          <w:bCs/>
          <w:i/>
          <w:iCs/>
          <w:sz w:val="24"/>
          <w:szCs w:val="24"/>
        </w:rPr>
        <w:t>dos</w:t>
      </w:r>
      <w:r w:rsidR="0081223B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 convenios </w:t>
      </w:r>
      <w:r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en 2026 </w:t>
      </w:r>
      <w:r w:rsidR="0081223B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para apoyar proyectos emprendedores en el medio rural </w:t>
      </w:r>
      <w:r w:rsidR="00B866B7" w:rsidRPr="00B461A3">
        <w:rPr>
          <w:rFonts w:ascii="Arial" w:hAnsi="Arial" w:cs="Arial"/>
          <w:b/>
          <w:bCs/>
          <w:i/>
          <w:iCs/>
          <w:sz w:val="24"/>
          <w:szCs w:val="24"/>
        </w:rPr>
        <w:t>riojano</w:t>
      </w:r>
      <w:r w:rsidR="00A17A28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A9791E9" w14:textId="77777777" w:rsidR="0081223B" w:rsidRPr="00B461A3" w:rsidRDefault="0081223B" w:rsidP="0081223B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623E1D" w14:textId="0A035ED4" w:rsidR="00D47E14" w:rsidRPr="00B461A3" w:rsidRDefault="0081223B" w:rsidP="00D47E14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La iniciativa contempla una inversión total de </w:t>
      </w:r>
      <w:r w:rsidR="00B866B7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20.000 </w:t>
      </w:r>
      <w:r w:rsidRPr="00B461A3">
        <w:rPr>
          <w:rFonts w:ascii="Arial" w:hAnsi="Arial" w:cs="Arial"/>
          <w:b/>
          <w:bCs/>
          <w:i/>
          <w:iCs/>
          <w:sz w:val="24"/>
          <w:szCs w:val="24"/>
        </w:rPr>
        <w:t>euros y la puesta en marcha de</w:t>
      </w:r>
      <w:r w:rsidR="00B866B7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 dos</w:t>
      </w:r>
      <w:r w:rsidR="00CB08FB"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61A3">
        <w:rPr>
          <w:rFonts w:ascii="Arial" w:hAnsi="Arial" w:cs="Arial"/>
          <w:b/>
          <w:bCs/>
          <w:i/>
          <w:iCs/>
          <w:sz w:val="24"/>
          <w:szCs w:val="24"/>
        </w:rPr>
        <w:t xml:space="preserve">convocatorias </w:t>
      </w:r>
    </w:p>
    <w:p w14:paraId="5AA0354A" w14:textId="77777777" w:rsidR="0081223B" w:rsidRPr="00B461A3" w:rsidRDefault="0081223B" w:rsidP="0081223B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BB491B" w14:textId="7D4861B3" w:rsidR="003C2503" w:rsidRPr="00B461A3" w:rsidRDefault="00B866B7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 w:rsidRPr="00B461A3">
        <w:rPr>
          <w:rFonts w:ascii="Arial" w:hAnsi="Arial" w:cs="Arial"/>
          <w:b/>
          <w:bCs/>
        </w:rPr>
        <w:t xml:space="preserve">Logroño, </w:t>
      </w:r>
      <w:r w:rsidR="0031053B">
        <w:rPr>
          <w:rFonts w:ascii="Arial" w:hAnsi="Arial" w:cs="Arial"/>
          <w:b/>
          <w:bCs/>
        </w:rPr>
        <w:t xml:space="preserve">19 </w:t>
      </w:r>
      <w:r w:rsidR="00ED5328" w:rsidRPr="00B461A3">
        <w:rPr>
          <w:rFonts w:ascii="Arial" w:hAnsi="Arial" w:cs="Arial"/>
          <w:b/>
          <w:bCs/>
        </w:rPr>
        <w:t xml:space="preserve">de </w:t>
      </w:r>
      <w:r w:rsidR="0031053B">
        <w:rPr>
          <w:rFonts w:ascii="Arial" w:hAnsi="Arial" w:cs="Arial"/>
          <w:b/>
          <w:bCs/>
        </w:rPr>
        <w:t xml:space="preserve">mayo </w:t>
      </w:r>
      <w:r w:rsidR="00ED5328" w:rsidRPr="00B461A3">
        <w:rPr>
          <w:rFonts w:ascii="Arial" w:hAnsi="Arial" w:cs="Arial"/>
          <w:b/>
          <w:bCs/>
        </w:rPr>
        <w:t>de 2026</w:t>
      </w:r>
    </w:p>
    <w:p w14:paraId="396CF608" w14:textId="799A3577" w:rsidR="005C1897" w:rsidRPr="00B461A3" w:rsidRDefault="005C1897" w:rsidP="005C1897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B461A3">
        <w:rPr>
          <w:rFonts w:ascii="Arial" w:hAnsi="Arial" w:cs="Arial"/>
        </w:rPr>
        <w:t xml:space="preserve">CaixaBank ha </w:t>
      </w:r>
      <w:r w:rsidR="00B866B7" w:rsidRPr="00B461A3">
        <w:rPr>
          <w:rFonts w:ascii="Arial" w:hAnsi="Arial" w:cs="Arial"/>
        </w:rPr>
        <w:t>firmado en La Rioja, los convenio</w:t>
      </w:r>
      <w:r w:rsidR="00B1210F">
        <w:rPr>
          <w:rFonts w:ascii="Arial" w:hAnsi="Arial" w:cs="Arial"/>
        </w:rPr>
        <w:t>s</w:t>
      </w:r>
      <w:r w:rsidR="00B866B7" w:rsidRPr="00B461A3">
        <w:rPr>
          <w:rFonts w:ascii="Arial" w:hAnsi="Arial" w:cs="Arial"/>
        </w:rPr>
        <w:t xml:space="preserve"> de colaboración con </w:t>
      </w:r>
      <w:r w:rsidR="00D95CD2" w:rsidRPr="00B461A3">
        <w:rPr>
          <w:rFonts w:ascii="Arial" w:hAnsi="Arial" w:cs="Arial"/>
        </w:rPr>
        <w:t>l</w:t>
      </w:r>
      <w:r w:rsidR="00B866B7" w:rsidRPr="00B461A3">
        <w:rPr>
          <w:rFonts w:ascii="Arial" w:hAnsi="Arial" w:cs="Arial"/>
        </w:rPr>
        <w:t xml:space="preserve">os </w:t>
      </w:r>
      <w:r w:rsidRPr="00B461A3">
        <w:rPr>
          <w:rFonts w:ascii="Arial" w:hAnsi="Arial" w:cs="Arial"/>
        </w:rPr>
        <w:t xml:space="preserve">Grupos de Desarrollo Rural (GDR) de </w:t>
      </w:r>
      <w:r w:rsidR="00B866B7" w:rsidRPr="00B461A3">
        <w:rPr>
          <w:rFonts w:ascii="Arial" w:hAnsi="Arial" w:cs="Arial"/>
        </w:rPr>
        <w:t xml:space="preserve">La Rioja, para la edición 2026 del </w:t>
      </w:r>
      <w:r w:rsidRPr="00B461A3">
        <w:rPr>
          <w:rFonts w:ascii="Arial" w:hAnsi="Arial" w:cs="Arial"/>
        </w:rPr>
        <w:t xml:space="preserve">programa </w:t>
      </w:r>
      <w:r w:rsidR="00B1210F">
        <w:rPr>
          <w:rFonts w:ascii="Arial" w:hAnsi="Arial" w:cs="Arial"/>
        </w:rPr>
        <w:t>‘</w:t>
      </w:r>
      <w:r w:rsidRPr="00B461A3">
        <w:rPr>
          <w:rFonts w:ascii="Arial" w:hAnsi="Arial" w:cs="Arial"/>
        </w:rPr>
        <w:t>Tierra de Oportunidades</w:t>
      </w:r>
      <w:r w:rsidR="00B1210F">
        <w:rPr>
          <w:rFonts w:ascii="Arial" w:hAnsi="Arial" w:cs="Arial"/>
        </w:rPr>
        <w:t>’</w:t>
      </w:r>
      <w:r w:rsidRPr="00B461A3">
        <w:rPr>
          <w:rFonts w:ascii="Arial" w:hAnsi="Arial" w:cs="Arial"/>
        </w:rPr>
        <w:t>, una iniciativa orientada a impulsar el emprendimiento y el desarrollo económico en el medio rural de la comunidad.</w:t>
      </w:r>
    </w:p>
    <w:p w14:paraId="2427570B" w14:textId="77777777" w:rsidR="005C1897" w:rsidRPr="00B461A3" w:rsidRDefault="005C1897" w:rsidP="005C1897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B461A3">
        <w:rPr>
          <w:rFonts w:ascii="Arial" w:hAnsi="Arial" w:cs="Arial"/>
        </w:rPr>
        <w:t>El programa de Acción Social de CaixaBank tiene como objetivo apoyar proyectos emprendedores en funcionamiento, favorecer la creación de empleo y generar nuevas oportunidades económicas en municipios y comarcas rurales, contribuyendo a la cohesión territorial y a la fijación de población.</w:t>
      </w:r>
    </w:p>
    <w:p w14:paraId="13513A42" w14:textId="79AFF2AB" w:rsidR="00D95CD2" w:rsidRDefault="00D95CD2" w:rsidP="00F5058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B461A3">
        <w:rPr>
          <w:rFonts w:ascii="Arial" w:hAnsi="Arial" w:cs="Arial"/>
        </w:rPr>
        <w:t xml:space="preserve">En esta edición, se continúa apoyando a todos los emprendedores de La Rioja. Los convenios se formalizan con la Asociación para el desarrollo rural de La Rioja Oriental, ADR y CEIP Rural La Rioja, que coordinan el programa que alcanza también a los </w:t>
      </w:r>
      <w:r w:rsidR="00F5058A" w:rsidRPr="00F5058A">
        <w:rPr>
          <w:rFonts w:ascii="Arial" w:hAnsi="Arial" w:cs="Arial"/>
        </w:rPr>
        <w:t>beneficiarios de la Asociación para el Desarrollo de La Rioja Alta (ADRA).</w:t>
      </w:r>
    </w:p>
    <w:p w14:paraId="42ACB38E" w14:textId="3E2E5A76" w:rsidR="003D365E" w:rsidRDefault="003D365E" w:rsidP="00D95CD2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D365E">
        <w:rPr>
          <w:rFonts w:ascii="Arial" w:hAnsi="Arial" w:cs="Arial"/>
        </w:rPr>
        <w:t>Los Grupos de Desarrollo Rural (GDR) y Grupos de Acción Local (GAL) son entidades sin ánimo de lucro que trabajan en el desarrollo rural en el marco del Fondo Europeo Agrícola de Desarrollo Rural (LEADER) y en colaboración con las respectivas comunidades autónomas, ayuntamientos, entidades sociales, empresariado y ciudadanía de sus territorios con el objetivo de impulsar el desarrollo económico y social del medio rural, seleccionar y gestionar proyectos que reciban fondos rurales y potenciar la innovación, la cooperación y la participación comunitaria.</w:t>
      </w:r>
    </w:p>
    <w:p w14:paraId="25002815" w14:textId="6420C53B" w:rsidR="004C34AE" w:rsidRPr="004C34AE" w:rsidRDefault="004C34AE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C34AE">
        <w:rPr>
          <w:rFonts w:ascii="Arial" w:hAnsi="Arial" w:cs="Arial"/>
        </w:rPr>
        <w:t xml:space="preserve">CaixaBank destina en 2026 un total </w:t>
      </w:r>
      <w:r w:rsidRPr="00064FD2">
        <w:rPr>
          <w:rFonts w:ascii="Arial" w:hAnsi="Arial" w:cs="Arial"/>
        </w:rPr>
        <w:t xml:space="preserve">de </w:t>
      </w:r>
      <w:r w:rsidR="00064FD2" w:rsidRPr="00064FD2">
        <w:rPr>
          <w:rFonts w:ascii="Arial" w:hAnsi="Arial" w:cs="Arial"/>
        </w:rPr>
        <w:t>20</w:t>
      </w:r>
      <w:r w:rsidR="00064FD2">
        <w:rPr>
          <w:rFonts w:ascii="Arial" w:hAnsi="Arial" w:cs="Arial"/>
        </w:rPr>
        <w:t>.000</w:t>
      </w:r>
      <w:r w:rsidR="00D61BAC">
        <w:rPr>
          <w:rFonts w:ascii="Arial" w:hAnsi="Arial" w:cs="Arial"/>
        </w:rPr>
        <w:t xml:space="preserve"> </w:t>
      </w:r>
      <w:r w:rsidRPr="004C34AE">
        <w:rPr>
          <w:rFonts w:ascii="Arial" w:hAnsi="Arial" w:cs="Arial"/>
        </w:rPr>
        <w:t>euros, con una aportación de 10.000 euros para cada GDR, de los cuales 4.000 euros se destinarán a ayudas directas a emprendedores y 6.000 euros a acciones de formación, acompañamiento y mentorización.</w:t>
      </w:r>
    </w:p>
    <w:p w14:paraId="120E7C15" w14:textId="39647F62" w:rsidR="004C34AE" w:rsidRPr="004C34AE" w:rsidRDefault="00064FD2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14 de mayo al 5 de </w:t>
      </w:r>
      <w:r w:rsidR="00B91310">
        <w:rPr>
          <w:rFonts w:ascii="Arial" w:hAnsi="Arial" w:cs="Arial"/>
        </w:rPr>
        <w:t xml:space="preserve">junio </w:t>
      </w:r>
      <w:r w:rsidR="00B91310" w:rsidRPr="004C34AE">
        <w:rPr>
          <w:rFonts w:ascii="Arial" w:hAnsi="Arial" w:cs="Arial"/>
        </w:rPr>
        <w:t>se</w:t>
      </w:r>
      <w:r w:rsidR="004C34AE" w:rsidRPr="004C34AE">
        <w:rPr>
          <w:rFonts w:ascii="Arial" w:hAnsi="Arial" w:cs="Arial"/>
        </w:rPr>
        <w:t xml:space="preserve"> pondrán en marcha </w:t>
      </w:r>
      <w:r>
        <w:rPr>
          <w:rFonts w:ascii="Arial" w:hAnsi="Arial" w:cs="Arial"/>
        </w:rPr>
        <w:t>un total de 54</w:t>
      </w:r>
      <w:r w:rsidR="00D61BAC">
        <w:rPr>
          <w:rFonts w:ascii="Arial" w:hAnsi="Arial" w:cs="Arial"/>
        </w:rPr>
        <w:t xml:space="preserve"> </w:t>
      </w:r>
      <w:r w:rsidR="004C34AE" w:rsidRPr="004C34AE">
        <w:rPr>
          <w:rFonts w:ascii="Arial" w:hAnsi="Arial" w:cs="Arial"/>
        </w:rPr>
        <w:t xml:space="preserve">convocatorias </w:t>
      </w:r>
      <w:r>
        <w:rPr>
          <w:rFonts w:ascii="Arial" w:hAnsi="Arial" w:cs="Arial"/>
        </w:rPr>
        <w:t>comarcales</w:t>
      </w:r>
      <w:r w:rsidR="004C34AE" w:rsidRPr="004C34AE">
        <w:rPr>
          <w:rFonts w:ascii="Arial" w:hAnsi="Arial" w:cs="Arial"/>
        </w:rPr>
        <w:t xml:space="preserve">, de las que resultarán </w:t>
      </w:r>
      <w:r w:rsidR="00CA6479">
        <w:rPr>
          <w:rFonts w:ascii="Arial" w:hAnsi="Arial" w:cs="Arial"/>
        </w:rPr>
        <w:t xml:space="preserve">premiados </w:t>
      </w:r>
      <w:r>
        <w:rPr>
          <w:rFonts w:ascii="Arial" w:hAnsi="Arial" w:cs="Arial"/>
        </w:rPr>
        <w:t>216</w:t>
      </w:r>
      <w:r w:rsidR="00D61BAC">
        <w:rPr>
          <w:rFonts w:ascii="Arial" w:hAnsi="Arial" w:cs="Arial"/>
        </w:rPr>
        <w:t xml:space="preserve"> </w:t>
      </w:r>
      <w:r w:rsidR="004C34AE" w:rsidRPr="004C34AE">
        <w:rPr>
          <w:rFonts w:ascii="Arial" w:hAnsi="Arial" w:cs="Arial"/>
        </w:rPr>
        <w:t xml:space="preserve">proyectos emprendedores. Estos proyectos se incorporarán </w:t>
      </w:r>
      <w:r w:rsidR="004C34AE" w:rsidRPr="004C34AE">
        <w:rPr>
          <w:rFonts w:ascii="Arial" w:hAnsi="Arial" w:cs="Arial"/>
        </w:rPr>
        <w:lastRenderedPageBreak/>
        <w:t xml:space="preserve">posteriormente al programa formativo nacional </w:t>
      </w:r>
      <w:r w:rsidR="009052DA">
        <w:rPr>
          <w:rFonts w:ascii="Arial" w:hAnsi="Arial" w:cs="Arial"/>
        </w:rPr>
        <w:t>‘</w:t>
      </w:r>
      <w:r w:rsidR="004C34AE" w:rsidRPr="004C34AE">
        <w:rPr>
          <w:rFonts w:ascii="Arial" w:hAnsi="Arial" w:cs="Arial"/>
        </w:rPr>
        <w:t>El Reto de Tierra de Oportunidades</w:t>
      </w:r>
      <w:r w:rsidR="009052DA">
        <w:rPr>
          <w:rFonts w:ascii="Arial" w:hAnsi="Arial" w:cs="Arial"/>
        </w:rPr>
        <w:t>’</w:t>
      </w:r>
      <w:r w:rsidR="004C34AE" w:rsidRPr="004C34AE">
        <w:rPr>
          <w:rFonts w:ascii="Arial" w:hAnsi="Arial" w:cs="Arial"/>
        </w:rPr>
        <w:t>, que conecta a emprendedores rurales de todo el país.</w:t>
      </w:r>
    </w:p>
    <w:p w14:paraId="26B5307E" w14:textId="77777777" w:rsidR="003B280D" w:rsidRPr="004C34AE" w:rsidRDefault="003B280D" w:rsidP="003B280D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86E9C">
        <w:rPr>
          <w:rFonts w:ascii="Arial" w:hAnsi="Arial" w:cs="Arial"/>
        </w:rPr>
        <w:t>Jorge García, responsable de Acción Social en la Territorial Ebro de CaixaBank, ha subrayado “el compromiso de CaixaBank con el medio rural aragonés y su apuesta por el emprendimiento como palanca de desarrollo económico y social”. Ha destacado, además, “el papel clave” de los Grupos de Desarrollo Rural y ha señalado que “trabajar con entidades que conocen el territorio desde dentro nos permite acompañar mejor a los emprendedores y apoyar proyectos con impacto real y futuro en cada provincia”.</w:t>
      </w:r>
    </w:p>
    <w:p w14:paraId="3BFC9A0D" w14:textId="77777777" w:rsidR="001E36D9" w:rsidRPr="00411790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411790">
        <w:rPr>
          <w:rFonts w:ascii="Arial" w:hAnsi="Arial" w:cs="Arial"/>
          <w:b/>
          <w:bCs/>
        </w:rPr>
        <w:t>Convocatoria 2026</w:t>
      </w:r>
    </w:p>
    <w:p w14:paraId="610068FA" w14:textId="583B5FA5" w:rsidR="0001339F" w:rsidRDefault="0001339F" w:rsidP="0001339F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DA5FD3">
        <w:rPr>
          <w:rFonts w:ascii="Arial" w:hAnsi="Arial" w:cs="Arial"/>
          <w:noProof/>
        </w:rPr>
        <w:t xml:space="preserve">CaixaBank </w:t>
      </w:r>
      <w:r>
        <w:rPr>
          <w:rFonts w:ascii="Arial" w:hAnsi="Arial" w:cs="Arial"/>
          <w:noProof/>
        </w:rPr>
        <w:t>ha anunciado el lanzamiento de la sexta edición de ‘Tierra de Oportunidades’ 2026 que, por primera vez, prevé llegar a un total de 4</w:t>
      </w:r>
      <w:r w:rsidR="00353590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t xml:space="preserve"> provincias </w:t>
      </w:r>
      <w:r w:rsidRPr="00E2056E">
        <w:rPr>
          <w:rFonts w:ascii="Arial" w:hAnsi="Arial" w:cs="Arial"/>
          <w:noProof/>
        </w:rPr>
        <w:t>y creará una plataforma online para los emprendedores</w:t>
      </w:r>
      <w:r>
        <w:rPr>
          <w:rFonts w:ascii="Arial" w:hAnsi="Arial" w:cs="Arial"/>
          <w:noProof/>
        </w:rPr>
        <w:t xml:space="preserve">. </w:t>
      </w:r>
    </w:p>
    <w:p w14:paraId="67C81F2D" w14:textId="77777777" w:rsidR="0001339F" w:rsidRPr="00546BB9" w:rsidRDefault="0001339F" w:rsidP="0001339F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 entidad lanzará, de manera silmultánea, las</w:t>
      </w:r>
      <w:r w:rsidRPr="00DA5FD3">
        <w:rPr>
          <w:rFonts w:ascii="Arial" w:hAnsi="Arial" w:cs="Arial"/>
          <w:noProof/>
        </w:rPr>
        <w:t xml:space="preserve"> convocatorias </w:t>
      </w:r>
      <w:r>
        <w:rPr>
          <w:rFonts w:ascii="Arial" w:hAnsi="Arial" w:cs="Arial"/>
          <w:noProof/>
        </w:rPr>
        <w:t>comarcales e</w:t>
      </w:r>
      <w:r w:rsidRPr="00DA5FD3">
        <w:rPr>
          <w:rFonts w:ascii="Arial" w:hAnsi="Arial" w:cs="Arial"/>
          <w:noProof/>
        </w:rPr>
        <w:t>n colaboración con los Grupos de Desarrollo Rural de cada área geográfica</w:t>
      </w:r>
      <w:r>
        <w:rPr>
          <w:rFonts w:ascii="Arial" w:hAnsi="Arial" w:cs="Arial"/>
          <w:noProof/>
        </w:rPr>
        <w:t xml:space="preserve"> y está previsto que el fallo se conozca antes del 30 de junio</w:t>
      </w:r>
      <w:r w:rsidRPr="00DA5FD3">
        <w:rPr>
          <w:rFonts w:ascii="Arial" w:hAnsi="Arial" w:cs="Arial"/>
          <w:noProof/>
        </w:rPr>
        <w:t>. La convocatoria se dirig</w:t>
      </w:r>
      <w:r>
        <w:rPr>
          <w:rFonts w:ascii="Arial" w:hAnsi="Arial" w:cs="Arial"/>
          <w:noProof/>
        </w:rPr>
        <w:t>irá</w:t>
      </w:r>
      <w:r w:rsidRPr="00DA5FD3">
        <w:rPr>
          <w:rFonts w:ascii="Arial" w:hAnsi="Arial" w:cs="Arial"/>
          <w:noProof/>
        </w:rPr>
        <w:t xml:space="preserve"> a emprendedores cuya actividad se desarrolle en un municipio con una </w:t>
      </w:r>
      <w:r w:rsidRPr="00546BB9">
        <w:rPr>
          <w:rFonts w:ascii="Arial" w:hAnsi="Arial" w:cs="Arial"/>
          <w:noProof/>
        </w:rPr>
        <w:t xml:space="preserve">población inferior a 5.000 habitantes, aunque en algunas comarcas se aceptarán municipios hasta 10.000 habitantes, y que facturen menos de 300.000 euros al año. </w:t>
      </w:r>
    </w:p>
    <w:p w14:paraId="0360F1D2" w14:textId="77777777" w:rsidR="0001339F" w:rsidRDefault="0001339F" w:rsidP="0001339F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546BB9">
        <w:rPr>
          <w:rFonts w:ascii="Arial" w:hAnsi="Arial" w:cs="Arial"/>
          <w:noProof/>
        </w:rPr>
        <w:t>El potencial de crecimiento y de creación de empleo rural, la innovación, el impacto social y la viabilidad de las iniciativas serán aspectos clave a la hora de evaluar y seleccionar las ideas emprendedoras que podrán beneficiarse del programa.</w:t>
      </w:r>
    </w:p>
    <w:p w14:paraId="29628CE9" w14:textId="77777777" w:rsidR="00C90A38" w:rsidRDefault="00C90A38" w:rsidP="0001339F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</w:p>
    <w:p w14:paraId="357F3F89" w14:textId="77777777" w:rsidR="00C90A38" w:rsidRPr="00C91CC4" w:rsidRDefault="00C90A38" w:rsidP="00C90A38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C91CC4">
        <w:rPr>
          <w:rFonts w:ascii="Arial" w:hAnsi="Arial" w:cs="Arial"/>
          <w:b/>
          <w:bCs/>
        </w:rPr>
        <w:t>Cinco años de programa</w:t>
      </w:r>
    </w:p>
    <w:p w14:paraId="6DB547AE" w14:textId="77777777" w:rsidR="00C90A38" w:rsidRPr="00F16363" w:rsidRDefault="00C90A38" w:rsidP="00C90A38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16363">
        <w:rPr>
          <w:rFonts w:ascii="Arial" w:hAnsi="Arial" w:cs="Arial"/>
        </w:rPr>
        <w:t xml:space="preserve">Desde que Acción Social CaixaBank lo pusiera en marcha en 2021, el programa </w:t>
      </w:r>
      <w:r>
        <w:rPr>
          <w:rFonts w:ascii="Arial" w:hAnsi="Arial" w:cs="Arial"/>
        </w:rPr>
        <w:t>‘</w:t>
      </w:r>
      <w:hyperlink r:id="rId11" w:history="1">
        <w:r w:rsidRPr="00D46085">
          <w:rPr>
            <w:rStyle w:val="Hipervnculo"/>
            <w:rFonts w:ascii="Arial" w:hAnsi="Arial" w:cs="Arial"/>
          </w:rPr>
          <w:t>Tierra de Oportunidades</w:t>
        </w:r>
      </w:hyperlink>
      <w:r>
        <w:rPr>
          <w:rFonts w:ascii="Arial" w:hAnsi="Arial" w:cs="Arial"/>
        </w:rPr>
        <w:t>’</w:t>
      </w:r>
      <w:r w:rsidRPr="00F16363">
        <w:rPr>
          <w:rFonts w:ascii="Arial" w:hAnsi="Arial" w:cs="Arial"/>
        </w:rPr>
        <w:t xml:space="preserve"> ha respaldado a más de 7.000 emprendedores y ha firmado 193 convenios de colaboración con Grupos de Desarrollo Rural (GDR) y entidades sociales que trabajan por la integración rural para impulsar el emprendimiento rural y la inserción laboral en estas zonas.</w:t>
      </w:r>
    </w:p>
    <w:p w14:paraId="5E8BC10A" w14:textId="77777777" w:rsidR="00C90A38" w:rsidRDefault="00C90A38" w:rsidP="00C90A38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16363">
        <w:rPr>
          <w:rFonts w:ascii="Arial" w:hAnsi="Arial" w:cs="Arial"/>
        </w:rPr>
        <w:t>En colaboración con los GDR comarcales, la Red Española de Desarrollo Rural (REDR) y el promotor del emprendimiento Rural Talent, el programa ha premiado, además, 670 proyectos en sus cinco años.</w:t>
      </w:r>
    </w:p>
    <w:p w14:paraId="5720F508" w14:textId="77777777" w:rsidR="00BD1507" w:rsidRDefault="00BD1507" w:rsidP="0001339F">
      <w:pPr>
        <w:spacing w:line="276" w:lineRule="auto"/>
        <w:ind w:right="-568"/>
        <w:jc w:val="both"/>
        <w:rPr>
          <w:rFonts w:ascii="Arial" w:hAnsi="Arial" w:cs="Arial"/>
        </w:rPr>
      </w:pPr>
    </w:p>
    <w:p w14:paraId="0FA6B739" w14:textId="77777777" w:rsidR="001E36D9" w:rsidRPr="00415B9D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415B9D">
        <w:rPr>
          <w:rFonts w:ascii="Arial" w:hAnsi="Arial" w:cs="Arial"/>
          <w:b/>
          <w:bCs/>
        </w:rPr>
        <w:t xml:space="preserve">Sobre Tierra de Oportunidades CaixaBank </w:t>
      </w:r>
    </w:p>
    <w:p w14:paraId="09CFCCAB" w14:textId="77777777" w:rsidR="001E36D9" w:rsidRPr="00C27CD3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C27CD3">
        <w:rPr>
          <w:rFonts w:ascii="Arial" w:hAnsi="Arial" w:cs="Arial"/>
        </w:rPr>
        <w:t xml:space="preserve">Tierra de Oportunidades es un programa de Acción Social CaixaBank que </w:t>
      </w:r>
      <w:r>
        <w:rPr>
          <w:rFonts w:ascii="Arial" w:hAnsi="Arial" w:cs="Arial"/>
        </w:rPr>
        <w:t>tiene</w:t>
      </w:r>
      <w:r w:rsidRPr="00C27CD3">
        <w:rPr>
          <w:rFonts w:ascii="Arial" w:hAnsi="Arial" w:cs="Arial"/>
        </w:rPr>
        <w:t xml:space="preserve"> el objetivo de apoyar el emprendimiento, crear empleo y ofrecer oportunidades de futuro al entorno rural. La entidad quiere ayudar directamente a emprendedores rurales con proyectos en funcionamiento, </w:t>
      </w:r>
      <w:r w:rsidRPr="00C27CD3">
        <w:rPr>
          <w:rFonts w:ascii="Arial" w:hAnsi="Arial" w:cs="Arial"/>
        </w:rPr>
        <w:lastRenderedPageBreak/>
        <w:t>detectando su potencial y necesidades y ofreciéndoles ayuda económica, formación y acompañamiento.</w:t>
      </w:r>
    </w:p>
    <w:p w14:paraId="0348C46C" w14:textId="585F8878" w:rsidR="004731CE" w:rsidRDefault="001E36D9" w:rsidP="00A0104D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C27CD3">
        <w:rPr>
          <w:rFonts w:ascii="Arial" w:hAnsi="Arial" w:cs="Arial"/>
        </w:rPr>
        <w:t>Todo ello, con el apoyo de los Grupos de Desarrollo Rural (GDR o GAL), conocedores en profundidad del tejido económico en los respectivos territorios, y contando con las sinergias creadas con otras áreas de la entidad: desde el acompañamiento y la mentorización (Voluntariado CaixaBank), a financiación (MicroBank y AgroBank) y creando una comunidad de emprendedores de todo el país.</w:t>
      </w:r>
    </w:p>
    <w:p w14:paraId="56172981" w14:textId="77777777" w:rsidR="0001339F" w:rsidRPr="0001339F" w:rsidRDefault="0001339F" w:rsidP="00A0104D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051214A8" w14:textId="77777777" w:rsidR="003840CA" w:rsidRPr="003840CA" w:rsidRDefault="003840CA" w:rsidP="003840CA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3840CA">
        <w:rPr>
          <w:rFonts w:ascii="Arial" w:hAnsi="Arial" w:cs="Arial"/>
          <w:b/>
          <w:bCs/>
        </w:rPr>
        <w:t>Sobre la Asociación para el Desarrollo Rural de La Rioja Oriental, ADR La Rioja Oriental</w:t>
      </w:r>
    </w:p>
    <w:p w14:paraId="21AF2F39" w14:textId="77777777" w:rsidR="003840CA" w:rsidRPr="003840CA" w:rsidRDefault="003840CA" w:rsidP="003840C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840CA">
        <w:rPr>
          <w:rFonts w:ascii="Arial" w:hAnsi="Arial" w:cs="Arial"/>
        </w:rPr>
        <w:t>La Asociación para el Desarrollo Rural de La Rioja Oriental es un Grupo de Acción Local con más de 20 años de andadura, constituido por distintos ayuntamientos, mancomunidades, colectivos y asociaciones que actúa en 36 municipios de los valles del Jubera, Ocón, Cidacos, Alhama-Linares y Ebro. ADR La Rioja Oriental refuerza su compromiso con el desarrollo rural a través de las ayudas Leader y otras iniciativas como ésta, con el fin de fijar población, generar riqueza y potenciar la promoción de toda la zona.</w:t>
      </w:r>
    </w:p>
    <w:p w14:paraId="053FC2BF" w14:textId="4332FB64" w:rsidR="0001339F" w:rsidRPr="0001339F" w:rsidRDefault="0001339F" w:rsidP="0001339F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01339F">
        <w:rPr>
          <w:rFonts w:ascii="Arial" w:hAnsi="Arial" w:cs="Arial"/>
          <w:b/>
          <w:bCs/>
        </w:rPr>
        <w:t xml:space="preserve">Sobre CEIP Rural La Rioja. </w:t>
      </w:r>
    </w:p>
    <w:p w14:paraId="6B887B6F" w14:textId="5DC5CA43" w:rsidR="00F449CF" w:rsidRPr="00F449CF" w:rsidRDefault="00F449CF" w:rsidP="00F449CF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449CF">
        <w:rPr>
          <w:rFonts w:ascii="Arial" w:hAnsi="Arial" w:cs="Arial"/>
        </w:rPr>
        <w:t>El Centro Europeo de Información y Promoción del Medio Rural – CEIP Rural- es una asociación público-privada sin ánimo de lucro, que lleva más de 30 años de experiencia en el medio, con funcionamiento asambleario y de ámbito comarcal, que abarca 104 municipios de la parte sur occidental de la Comunidad Autónoma de La Rioja y cuya función principal es apoyar cualquier proyecto o iniciativa que suponga una mejora de la calidad de vida en el medio rural y un impulso económico en la zona de actuación.</w:t>
      </w:r>
    </w:p>
    <w:p w14:paraId="7CBCB79E" w14:textId="2AB3472B" w:rsidR="0001339F" w:rsidRPr="00F449CF" w:rsidRDefault="00F449CF" w:rsidP="00F449CF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449CF">
        <w:rPr>
          <w:rFonts w:ascii="Arial" w:hAnsi="Arial" w:cs="Arial"/>
        </w:rPr>
        <w:t>En la actualidad el C</w:t>
      </w:r>
      <w:r>
        <w:rPr>
          <w:rFonts w:ascii="Arial" w:hAnsi="Arial" w:cs="Arial"/>
        </w:rPr>
        <w:t>EIP</w:t>
      </w:r>
      <w:r w:rsidRPr="00F449CF">
        <w:rPr>
          <w:rFonts w:ascii="Arial" w:hAnsi="Arial" w:cs="Arial"/>
        </w:rPr>
        <w:t xml:space="preserve"> Rural </w:t>
      </w:r>
      <w:r w:rsidRPr="00F449CF">
        <w:rPr>
          <w:rFonts w:ascii="Arial" w:hAnsi="Arial" w:cs="Arial"/>
        </w:rPr>
        <w:t>está</w:t>
      </w:r>
      <w:r w:rsidRPr="00F449CF">
        <w:rPr>
          <w:rFonts w:ascii="Arial" w:hAnsi="Arial" w:cs="Arial"/>
        </w:rPr>
        <w:t xml:space="preserve"> formado por 102 socios tanto públicos (Ayuntamientos, Mancomunidades) como privados </w:t>
      </w:r>
      <w:r w:rsidR="0092103D" w:rsidRPr="00F449CF">
        <w:rPr>
          <w:rFonts w:ascii="Arial" w:hAnsi="Arial" w:cs="Arial"/>
        </w:rPr>
        <w:t>(asociaciones</w:t>
      </w:r>
      <w:r w:rsidRPr="00F449CF">
        <w:rPr>
          <w:rFonts w:ascii="Arial" w:hAnsi="Arial" w:cs="Arial"/>
        </w:rPr>
        <w:t>, colectivos, sindicatos, fundaciones…)</w:t>
      </w:r>
    </w:p>
    <w:p w14:paraId="0D70376B" w14:textId="77777777" w:rsidR="007F76F8" w:rsidRPr="007F76F8" w:rsidRDefault="007F76F8" w:rsidP="007F76F8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7F76F8">
        <w:rPr>
          <w:rFonts w:ascii="Arial" w:hAnsi="Arial" w:cs="Arial"/>
          <w:b/>
          <w:bCs/>
        </w:rPr>
        <w:t>Sobre ADRA</w:t>
      </w:r>
    </w:p>
    <w:p w14:paraId="250AC510" w14:textId="029BD61B" w:rsidR="007F76F8" w:rsidRPr="007F76F8" w:rsidRDefault="007F76F8" w:rsidP="007F76F8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7F76F8">
        <w:rPr>
          <w:rFonts w:ascii="Arial" w:hAnsi="Arial" w:cs="Arial"/>
        </w:rPr>
        <w:t xml:space="preserve">La Asociación para el Desarrollo de La Rioja Alta (ADRA) opera en la zona noroeste de la región, en un territorio de 32 municipios donde predomina la actividad vitivinícola y </w:t>
      </w:r>
      <w:r w:rsidR="00F449CF" w:rsidRPr="007F76F8">
        <w:rPr>
          <w:rFonts w:ascii="Arial" w:hAnsi="Arial" w:cs="Arial"/>
        </w:rPr>
        <w:t>ecoturística</w:t>
      </w:r>
      <w:r w:rsidRPr="007F76F8">
        <w:rPr>
          <w:rFonts w:ascii="Arial" w:hAnsi="Arial" w:cs="Arial"/>
        </w:rPr>
        <w:t>; no en vano, buena parte de los proyectos que impulsa poseen esta naturaleza. Con más de 15 años de existencia, ADRA ha promovido más de 200 iniciativas y generado y consolidado más de 300 empleos en el medio rural con un objetivo claro de mantenimiento y estímulo de la actividad económica en los pueblos para mantener el empleo y, con ello, la población.</w:t>
      </w:r>
    </w:p>
    <w:p w14:paraId="54B2318B" w14:textId="77777777" w:rsidR="0001339F" w:rsidRPr="0001339F" w:rsidRDefault="0001339F" w:rsidP="00A0104D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sectPr w:rsidR="0001339F" w:rsidRPr="0001339F" w:rsidSect="00A453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3016" w14:textId="77777777" w:rsidR="003465E6" w:rsidRDefault="003465E6" w:rsidP="001E4FCE">
      <w:pPr>
        <w:spacing w:after="0" w:line="240" w:lineRule="auto"/>
      </w:pPr>
      <w:r>
        <w:separator/>
      </w:r>
    </w:p>
  </w:endnote>
  <w:endnote w:type="continuationSeparator" w:id="0">
    <w:p w14:paraId="70120480" w14:textId="77777777" w:rsidR="003465E6" w:rsidRDefault="003465E6" w:rsidP="001E4FCE">
      <w:pPr>
        <w:spacing w:after="0" w:line="240" w:lineRule="auto"/>
      </w:pPr>
      <w:r>
        <w:continuationSeparator/>
      </w:r>
    </w:p>
  </w:endnote>
  <w:endnote w:type="continuationNotice" w:id="1">
    <w:p w14:paraId="7F16FB23" w14:textId="77777777" w:rsidR="003465E6" w:rsidRDefault="00346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2B46" w14:textId="77777777" w:rsidR="003A385F" w:rsidRDefault="003A38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B65" w14:textId="12C9D8B3" w:rsidR="008F0D64" w:rsidRPr="00B60236" w:rsidRDefault="001B0F8C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93" behindDoc="1" locked="0" layoutInCell="1" allowOverlap="1" wp14:anchorId="648AF5F6" wp14:editId="0429505A">
          <wp:simplePos x="0" y="0"/>
          <wp:positionH relativeFrom="column">
            <wp:posOffset>704850</wp:posOffset>
          </wp:positionH>
          <wp:positionV relativeFrom="paragraph">
            <wp:posOffset>-622300</wp:posOffset>
          </wp:positionV>
          <wp:extent cx="5376776" cy="866258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68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7D3522" wp14:editId="3D8A9967">
              <wp:simplePos x="0" y="0"/>
              <wp:positionH relativeFrom="page">
                <wp:posOffset>612140</wp:posOffset>
              </wp:positionH>
              <wp:positionV relativeFrom="paragraph">
                <wp:posOffset>-631891</wp:posOffset>
              </wp:positionV>
              <wp:extent cx="6335395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5F00C4" id="Conector recto 12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8.2pt,-49.75pt" to="547.05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IDmgEAAIgDAAAOAAAAZHJzL2Uyb0RvYy54bWysU8tu2zAQvAfIPxC815JjJGgEyz4kaC5B&#10;GzTJBzDU0iLKF5aMJf99l7QtF0lRFEEuFB8zszu7q+V6tIZtAaP2ruXzWc0ZOOk77TYtf3769uUr&#10;ZzEJ1wnjHbR8B5GvV+dnyyE0cOF7bzpARiIuNkNoeZ9SaKoqyh6siDMfwNGj8mhFoiNuqg7FQOrW&#10;VBd1fVUNHruAXkKMdHu7f+Sroq8UyPRDqQiJmZZTbqmsWNaXvFarpWg2KEKv5SEN8YEsrNCOgk5S&#10;tyIJ9or6nZTVEn30Ks2kt5VXSksoHsjNvH7j5rEXAYoXKk4MU5ni58nK79sb94BUhiHEJoYHzC5G&#10;hTZ/KT82lmLtpmLBmJiky6vF4nJxfcmZPL5VJ2LAmO7AW5Y3LTfaZR+iEdv7mCgYQY8QOpxCl13a&#10;Gchg436CYrqjYPPCLlMBNwbZVlA/u1/z3D/SKshMUdqYiVT/m3TAZhqUSflf4oQuEb1LE9Fq5/Fv&#10;UdN4TFXt8UfXe6/Z9ovvdqURpRzU7uLsMJp5nv48F/rpB1r9BgAA//8DAFBLAwQUAAYACAAAACEA&#10;Bjtofd4AAAALAQAADwAAAGRycy9kb3ducmV2LnhtbEyPwWrDMAyG74O9g9Fgt9Zp6cKSxSmlMMYu&#10;Y023uxurSVpbDraTZm8/FwbrUdLHr+8v1pPRbETnO0sCFvMEGFJtVUeNgK/96+wZmA+SlNSWUMAP&#10;eliX93eFzJW90A7HKjQshpDPpYA2hD7n3NctGunntkeKt6N1RoY4uoYrJy8x3Gi+TJKUG9lR/NDK&#10;Hrct1udqMAL0uxu/m22z8cPbLq1On8flx34U4vFh2rwACziFfxiu+lEdyuh0sAMpz7SALF1FUsAs&#10;y56AXYEkWy2AHf5WvCz4bYfyFwAA//8DAFBLAQItABQABgAIAAAAIQC2gziS/gAAAOEBAAATAAAA&#10;AAAAAAAAAAAAAAAAAABbQ29udGVudF9UeXBlc10ueG1sUEsBAi0AFAAGAAgAAAAhADj9If/WAAAA&#10;lAEAAAsAAAAAAAAAAAAAAAAALwEAAF9yZWxzLy5yZWxzUEsBAi0AFAAGAAgAAAAhAOUx8gOaAQAA&#10;iAMAAA4AAAAAAAAAAAAAAAAALgIAAGRycy9lMm9Eb2MueG1sUEsBAi0AFAAGAAgAAAAhAAY7aH3e&#10;AAAACwEAAA8AAAAAAAAAAAAAAAAA9AMAAGRycy9kb3ducmV2LnhtbFBLBQYAAAAABAAEAPMAAAD/&#10;BAAAAAA=&#10;" strokecolor="black [3200]" strokeweight=".5pt">
              <v:stroke joinstyle="miter"/>
              <w10:wrap type="square" anchorx="page"/>
            </v:line>
          </w:pict>
        </mc:Fallback>
      </mc:AlternateContent>
    </w:r>
    <w:r w:rsidR="00211689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FE3913D" wp14:editId="20905179">
              <wp:simplePos x="0" y="0"/>
              <wp:positionH relativeFrom="page">
                <wp:posOffset>496058</wp:posOffset>
              </wp:positionH>
              <wp:positionV relativeFrom="paragraph">
                <wp:posOffset>-311150</wp:posOffset>
              </wp:positionV>
              <wp:extent cx="14668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05pt;margin-top:-24.5pt;width:115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00SlmN8AAAAKAQAADwAAAGRycy9kb3ducmV2LnhtbEyPy07DMBBF90j8gzVI7Fqn4dE2xKkqKjYs&#10;kChI7dKNnTjCHlu2m4a/Z1jBcmaO7pxbbyZn2ahjGjwKWMwLYBpbrwbsBXx+vMxWwFKWqKT1qAV8&#10;6wSb5vqqlpXyF3zX4z73jEIwVVKAyTlUnKfWaCfT3AeNdOt8dDLTGHuuorxQuLO8LIpH7uSA9MHI&#10;oJ+Nbr/2Zyfg4MygdvHt2Ck77l677UOYYhDi9mbaPgHLesp/MPzqkzo05HTyZ1SJWQHL1YJIAbP7&#10;NXUi4K5Y0+ZE5LIsgTc1/1+h+QE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DTRKWY&#10;3wAAAAoBAAAPAAAAAAAAAAAAAAAAAGYEAABkcnMvZG93bnJldi54bWxQSwUGAAAAAAQABADzAAAA&#10;cgUAAAAA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8DEB" w14:textId="77777777" w:rsidR="003A385F" w:rsidRDefault="003A38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59C0" w14:textId="77777777" w:rsidR="003465E6" w:rsidRDefault="003465E6" w:rsidP="001E4FCE">
      <w:pPr>
        <w:spacing w:after="0" w:line="240" w:lineRule="auto"/>
      </w:pPr>
      <w:r>
        <w:separator/>
      </w:r>
    </w:p>
  </w:footnote>
  <w:footnote w:type="continuationSeparator" w:id="0">
    <w:p w14:paraId="29DB8BDB" w14:textId="77777777" w:rsidR="003465E6" w:rsidRDefault="003465E6" w:rsidP="001E4FCE">
      <w:pPr>
        <w:spacing w:after="0" w:line="240" w:lineRule="auto"/>
      </w:pPr>
      <w:r>
        <w:continuationSeparator/>
      </w:r>
    </w:p>
  </w:footnote>
  <w:footnote w:type="continuationNotice" w:id="1">
    <w:p w14:paraId="64CA79A3" w14:textId="77777777" w:rsidR="003465E6" w:rsidRDefault="00346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549A" w14:textId="77777777" w:rsidR="003A385F" w:rsidRDefault="003A38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59D" w14:textId="77777777" w:rsidR="007A4971" w:rsidRDefault="007A4971">
    <w:pPr>
      <w:pStyle w:val="Encabezado"/>
    </w:pPr>
  </w:p>
  <w:p w14:paraId="4C53BF40" w14:textId="70A22668" w:rsidR="001E4FCE" w:rsidRDefault="007A4971">
    <w:pPr>
      <w:pStyle w:val="Encabezado"/>
    </w:pPr>
    <w:r>
      <w:rPr>
        <w:rFonts w:ascii="Arial" w:hAnsi="Arial" w:cs="Arial"/>
        <w:b/>
        <w:i/>
        <w:iCs/>
        <w:noProof/>
        <w:lang w:val="fr-FR"/>
      </w:rPr>
      <w:drawing>
        <wp:anchor distT="0" distB="0" distL="114300" distR="114300" simplePos="0" relativeHeight="251658245" behindDoc="0" locked="0" layoutInCell="1" allowOverlap="1" wp14:anchorId="17A863D6" wp14:editId="11CC7E18">
          <wp:simplePos x="0" y="0"/>
          <wp:positionH relativeFrom="margin">
            <wp:posOffset>1518398</wp:posOffset>
          </wp:positionH>
          <wp:positionV relativeFrom="paragraph">
            <wp:posOffset>40106</wp:posOffset>
          </wp:positionV>
          <wp:extent cx="1892300" cy="309245"/>
          <wp:effectExtent l="0" t="0" r="0" b="0"/>
          <wp:wrapNone/>
          <wp:docPr id="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24107" r="13075" b="29911"/>
                  <a:stretch/>
                </pic:blipFill>
                <pic:spPr bwMode="auto">
                  <a:xfrm>
                    <a:off x="0" y="0"/>
                    <a:ext cx="18923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9BB9B" id="Rectángulo 1" o:spid="_x0000_s1026" style="position:absolute;margin-left:0;margin-top:41.55pt;width:495pt;height:1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58241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973D" w14:textId="77777777" w:rsidR="003A385F" w:rsidRDefault="003A38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DB"/>
    <w:multiLevelType w:val="hybridMultilevel"/>
    <w:tmpl w:val="A80A1608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34E5"/>
    <w:multiLevelType w:val="hybridMultilevel"/>
    <w:tmpl w:val="424A7704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2A6C33F5"/>
    <w:multiLevelType w:val="multilevel"/>
    <w:tmpl w:val="00F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2079AB"/>
    <w:multiLevelType w:val="hybridMultilevel"/>
    <w:tmpl w:val="B986EE24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6D90834"/>
    <w:multiLevelType w:val="multilevel"/>
    <w:tmpl w:val="B93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6"/>
  </w:num>
  <w:num w:numId="2" w16cid:durableId="629748527">
    <w:abstractNumId w:val="4"/>
  </w:num>
  <w:num w:numId="3" w16cid:durableId="953092603">
    <w:abstractNumId w:val="2"/>
  </w:num>
  <w:num w:numId="4" w16cid:durableId="939338444">
    <w:abstractNumId w:val="0"/>
  </w:num>
  <w:num w:numId="5" w16cid:durableId="1092749731">
    <w:abstractNumId w:val="3"/>
  </w:num>
  <w:num w:numId="6" w16cid:durableId="2144956789">
    <w:abstractNumId w:val="5"/>
  </w:num>
  <w:num w:numId="7" w16cid:durableId="183706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10F88"/>
    <w:rsid w:val="0001339F"/>
    <w:rsid w:val="000262B1"/>
    <w:rsid w:val="00026ABD"/>
    <w:rsid w:val="0003045D"/>
    <w:rsid w:val="0004174B"/>
    <w:rsid w:val="00043AD9"/>
    <w:rsid w:val="00043E58"/>
    <w:rsid w:val="00044D88"/>
    <w:rsid w:val="00045026"/>
    <w:rsid w:val="00046264"/>
    <w:rsid w:val="00051CF6"/>
    <w:rsid w:val="00051D7B"/>
    <w:rsid w:val="000560C0"/>
    <w:rsid w:val="00060EB7"/>
    <w:rsid w:val="00064838"/>
    <w:rsid w:val="00064FD2"/>
    <w:rsid w:val="0006627E"/>
    <w:rsid w:val="00075879"/>
    <w:rsid w:val="00085CCC"/>
    <w:rsid w:val="00087433"/>
    <w:rsid w:val="000906F9"/>
    <w:rsid w:val="000911A0"/>
    <w:rsid w:val="00091683"/>
    <w:rsid w:val="0009185D"/>
    <w:rsid w:val="000A27CA"/>
    <w:rsid w:val="000A7370"/>
    <w:rsid w:val="000B0D3E"/>
    <w:rsid w:val="000B215C"/>
    <w:rsid w:val="000B2742"/>
    <w:rsid w:val="000B2815"/>
    <w:rsid w:val="000B496F"/>
    <w:rsid w:val="000C4B83"/>
    <w:rsid w:val="000D0614"/>
    <w:rsid w:val="000D7FE2"/>
    <w:rsid w:val="000E073A"/>
    <w:rsid w:val="000E157F"/>
    <w:rsid w:val="000E730D"/>
    <w:rsid w:val="000F1B81"/>
    <w:rsid w:val="000F27A2"/>
    <w:rsid w:val="00105A70"/>
    <w:rsid w:val="00107594"/>
    <w:rsid w:val="001131AA"/>
    <w:rsid w:val="0011468C"/>
    <w:rsid w:val="001174DF"/>
    <w:rsid w:val="00120E32"/>
    <w:rsid w:val="001233DD"/>
    <w:rsid w:val="001237CC"/>
    <w:rsid w:val="00124BFE"/>
    <w:rsid w:val="00124FAD"/>
    <w:rsid w:val="00126AD0"/>
    <w:rsid w:val="00127CE6"/>
    <w:rsid w:val="0013546B"/>
    <w:rsid w:val="00136E96"/>
    <w:rsid w:val="0014220F"/>
    <w:rsid w:val="00142273"/>
    <w:rsid w:val="00144521"/>
    <w:rsid w:val="00154307"/>
    <w:rsid w:val="001545F2"/>
    <w:rsid w:val="001558F1"/>
    <w:rsid w:val="001723A5"/>
    <w:rsid w:val="001734B2"/>
    <w:rsid w:val="001762A7"/>
    <w:rsid w:val="001800B3"/>
    <w:rsid w:val="0018584B"/>
    <w:rsid w:val="00187F90"/>
    <w:rsid w:val="00192E2D"/>
    <w:rsid w:val="00193A7E"/>
    <w:rsid w:val="001A00D3"/>
    <w:rsid w:val="001A1B4E"/>
    <w:rsid w:val="001B0F8C"/>
    <w:rsid w:val="001B1BF1"/>
    <w:rsid w:val="001B1E48"/>
    <w:rsid w:val="001B3899"/>
    <w:rsid w:val="001B70F2"/>
    <w:rsid w:val="001C0D47"/>
    <w:rsid w:val="001D4F30"/>
    <w:rsid w:val="001D5A64"/>
    <w:rsid w:val="001D637E"/>
    <w:rsid w:val="001D6CCD"/>
    <w:rsid w:val="001E36D9"/>
    <w:rsid w:val="001E4FCE"/>
    <w:rsid w:val="001E5972"/>
    <w:rsid w:val="001E60B6"/>
    <w:rsid w:val="001E7561"/>
    <w:rsid w:val="001F271F"/>
    <w:rsid w:val="001F5497"/>
    <w:rsid w:val="00203AA0"/>
    <w:rsid w:val="002052BC"/>
    <w:rsid w:val="00206130"/>
    <w:rsid w:val="00211689"/>
    <w:rsid w:val="00213FED"/>
    <w:rsid w:val="002176A4"/>
    <w:rsid w:val="0022064E"/>
    <w:rsid w:val="00223230"/>
    <w:rsid w:val="00223FD4"/>
    <w:rsid w:val="002346E4"/>
    <w:rsid w:val="0023518F"/>
    <w:rsid w:val="002449AD"/>
    <w:rsid w:val="002503A6"/>
    <w:rsid w:val="00251B4C"/>
    <w:rsid w:val="00252F53"/>
    <w:rsid w:val="00257F3D"/>
    <w:rsid w:val="00271003"/>
    <w:rsid w:val="00283923"/>
    <w:rsid w:val="00292884"/>
    <w:rsid w:val="002A3808"/>
    <w:rsid w:val="002B2B24"/>
    <w:rsid w:val="002C63EA"/>
    <w:rsid w:val="002D3139"/>
    <w:rsid w:val="002D529E"/>
    <w:rsid w:val="002D5EEA"/>
    <w:rsid w:val="002D64AC"/>
    <w:rsid w:val="002E104C"/>
    <w:rsid w:val="002F01A1"/>
    <w:rsid w:val="002F7D89"/>
    <w:rsid w:val="0031053B"/>
    <w:rsid w:val="00322CB1"/>
    <w:rsid w:val="0032666D"/>
    <w:rsid w:val="003308E8"/>
    <w:rsid w:val="0033616C"/>
    <w:rsid w:val="00342726"/>
    <w:rsid w:val="00343C5B"/>
    <w:rsid w:val="00345370"/>
    <w:rsid w:val="003465E6"/>
    <w:rsid w:val="00353590"/>
    <w:rsid w:val="00354181"/>
    <w:rsid w:val="0036087F"/>
    <w:rsid w:val="00361459"/>
    <w:rsid w:val="0036532D"/>
    <w:rsid w:val="00370A8D"/>
    <w:rsid w:val="00371414"/>
    <w:rsid w:val="00375650"/>
    <w:rsid w:val="003839A7"/>
    <w:rsid w:val="003840CA"/>
    <w:rsid w:val="00390A71"/>
    <w:rsid w:val="0039585A"/>
    <w:rsid w:val="003A2DFD"/>
    <w:rsid w:val="003A385F"/>
    <w:rsid w:val="003A4AB5"/>
    <w:rsid w:val="003A5F06"/>
    <w:rsid w:val="003A6B8B"/>
    <w:rsid w:val="003B10E0"/>
    <w:rsid w:val="003B280D"/>
    <w:rsid w:val="003B3643"/>
    <w:rsid w:val="003B5747"/>
    <w:rsid w:val="003C080E"/>
    <w:rsid w:val="003C2503"/>
    <w:rsid w:val="003C2C20"/>
    <w:rsid w:val="003C3E0D"/>
    <w:rsid w:val="003C6CE8"/>
    <w:rsid w:val="003C79E8"/>
    <w:rsid w:val="003D113D"/>
    <w:rsid w:val="003D365E"/>
    <w:rsid w:val="003E2831"/>
    <w:rsid w:val="003F4303"/>
    <w:rsid w:val="0040452E"/>
    <w:rsid w:val="004049FF"/>
    <w:rsid w:val="0040754F"/>
    <w:rsid w:val="00407574"/>
    <w:rsid w:val="0041161A"/>
    <w:rsid w:val="00411790"/>
    <w:rsid w:val="00412914"/>
    <w:rsid w:val="00415B9D"/>
    <w:rsid w:val="00423D46"/>
    <w:rsid w:val="00433F0F"/>
    <w:rsid w:val="004463E7"/>
    <w:rsid w:val="00446E1B"/>
    <w:rsid w:val="004513C0"/>
    <w:rsid w:val="004527D4"/>
    <w:rsid w:val="00453994"/>
    <w:rsid w:val="004552C5"/>
    <w:rsid w:val="004607AC"/>
    <w:rsid w:val="00463911"/>
    <w:rsid w:val="004731CE"/>
    <w:rsid w:val="00474005"/>
    <w:rsid w:val="0047582F"/>
    <w:rsid w:val="00481FEA"/>
    <w:rsid w:val="00482A8F"/>
    <w:rsid w:val="00483926"/>
    <w:rsid w:val="00496233"/>
    <w:rsid w:val="00497638"/>
    <w:rsid w:val="00497B1E"/>
    <w:rsid w:val="00497C97"/>
    <w:rsid w:val="004A1D59"/>
    <w:rsid w:val="004A3449"/>
    <w:rsid w:val="004A60AE"/>
    <w:rsid w:val="004B28BA"/>
    <w:rsid w:val="004B5F41"/>
    <w:rsid w:val="004C34AE"/>
    <w:rsid w:val="004C3AEA"/>
    <w:rsid w:val="004D390D"/>
    <w:rsid w:val="004E64DD"/>
    <w:rsid w:val="004E72E2"/>
    <w:rsid w:val="004F5621"/>
    <w:rsid w:val="00505760"/>
    <w:rsid w:val="00505FC2"/>
    <w:rsid w:val="00510C40"/>
    <w:rsid w:val="00527216"/>
    <w:rsid w:val="00527404"/>
    <w:rsid w:val="00536632"/>
    <w:rsid w:val="0054009B"/>
    <w:rsid w:val="00542876"/>
    <w:rsid w:val="00546D9A"/>
    <w:rsid w:val="0056063C"/>
    <w:rsid w:val="00560898"/>
    <w:rsid w:val="00561091"/>
    <w:rsid w:val="005622CF"/>
    <w:rsid w:val="0058457C"/>
    <w:rsid w:val="00586BCA"/>
    <w:rsid w:val="005875CD"/>
    <w:rsid w:val="005A2859"/>
    <w:rsid w:val="005A2A2F"/>
    <w:rsid w:val="005A30E5"/>
    <w:rsid w:val="005A6691"/>
    <w:rsid w:val="005B3D52"/>
    <w:rsid w:val="005C1897"/>
    <w:rsid w:val="005C39F2"/>
    <w:rsid w:val="005C3E6A"/>
    <w:rsid w:val="005E23E7"/>
    <w:rsid w:val="005E454E"/>
    <w:rsid w:val="005E53E6"/>
    <w:rsid w:val="005F6FD3"/>
    <w:rsid w:val="00600694"/>
    <w:rsid w:val="00601423"/>
    <w:rsid w:val="00601E27"/>
    <w:rsid w:val="00613A3D"/>
    <w:rsid w:val="00621EA1"/>
    <w:rsid w:val="006255CD"/>
    <w:rsid w:val="00634CF7"/>
    <w:rsid w:val="0063678D"/>
    <w:rsid w:val="006429FE"/>
    <w:rsid w:val="00644FEE"/>
    <w:rsid w:val="006465B4"/>
    <w:rsid w:val="006604EA"/>
    <w:rsid w:val="00661207"/>
    <w:rsid w:val="00665017"/>
    <w:rsid w:val="00672CE4"/>
    <w:rsid w:val="00673575"/>
    <w:rsid w:val="00681EF5"/>
    <w:rsid w:val="00682678"/>
    <w:rsid w:val="0068627F"/>
    <w:rsid w:val="006866A2"/>
    <w:rsid w:val="006A1345"/>
    <w:rsid w:val="006A2B81"/>
    <w:rsid w:val="006A33CA"/>
    <w:rsid w:val="006B7CBD"/>
    <w:rsid w:val="006C084B"/>
    <w:rsid w:val="006C45A5"/>
    <w:rsid w:val="006C4D48"/>
    <w:rsid w:val="006C5895"/>
    <w:rsid w:val="006D00E7"/>
    <w:rsid w:val="006D3795"/>
    <w:rsid w:val="006E249B"/>
    <w:rsid w:val="006E62F6"/>
    <w:rsid w:val="006F0194"/>
    <w:rsid w:val="006F6764"/>
    <w:rsid w:val="00700FCB"/>
    <w:rsid w:val="007018A9"/>
    <w:rsid w:val="007101DF"/>
    <w:rsid w:val="00714965"/>
    <w:rsid w:val="00737223"/>
    <w:rsid w:val="00747EA1"/>
    <w:rsid w:val="00751C65"/>
    <w:rsid w:val="00757E70"/>
    <w:rsid w:val="00767A10"/>
    <w:rsid w:val="007808E8"/>
    <w:rsid w:val="00790CBB"/>
    <w:rsid w:val="00792453"/>
    <w:rsid w:val="00795924"/>
    <w:rsid w:val="007A4971"/>
    <w:rsid w:val="007A755C"/>
    <w:rsid w:val="007B280A"/>
    <w:rsid w:val="007D1FEA"/>
    <w:rsid w:val="007D210A"/>
    <w:rsid w:val="007D7DCB"/>
    <w:rsid w:val="007E1298"/>
    <w:rsid w:val="007E28C2"/>
    <w:rsid w:val="007E7A4B"/>
    <w:rsid w:val="007F1BB8"/>
    <w:rsid w:val="007F6F56"/>
    <w:rsid w:val="007F76F8"/>
    <w:rsid w:val="00806C50"/>
    <w:rsid w:val="0081223B"/>
    <w:rsid w:val="008134C5"/>
    <w:rsid w:val="00830BFB"/>
    <w:rsid w:val="00840DC7"/>
    <w:rsid w:val="008446F0"/>
    <w:rsid w:val="00855322"/>
    <w:rsid w:val="00856A41"/>
    <w:rsid w:val="00856FF8"/>
    <w:rsid w:val="00863647"/>
    <w:rsid w:val="00872B73"/>
    <w:rsid w:val="00875DEE"/>
    <w:rsid w:val="008820F8"/>
    <w:rsid w:val="008855C2"/>
    <w:rsid w:val="00885955"/>
    <w:rsid w:val="0089003D"/>
    <w:rsid w:val="00894C0D"/>
    <w:rsid w:val="008A0D7E"/>
    <w:rsid w:val="008B4044"/>
    <w:rsid w:val="008B6635"/>
    <w:rsid w:val="008C103F"/>
    <w:rsid w:val="008C1204"/>
    <w:rsid w:val="008D0C37"/>
    <w:rsid w:val="008D40FE"/>
    <w:rsid w:val="008D4CDF"/>
    <w:rsid w:val="008D4D97"/>
    <w:rsid w:val="008E0219"/>
    <w:rsid w:val="008F0D64"/>
    <w:rsid w:val="008F5413"/>
    <w:rsid w:val="0090380D"/>
    <w:rsid w:val="009052DA"/>
    <w:rsid w:val="00915C66"/>
    <w:rsid w:val="00917FE4"/>
    <w:rsid w:val="0092060E"/>
    <w:rsid w:val="0092103D"/>
    <w:rsid w:val="00931B0C"/>
    <w:rsid w:val="0093450F"/>
    <w:rsid w:val="00965BA0"/>
    <w:rsid w:val="00966DE3"/>
    <w:rsid w:val="00973980"/>
    <w:rsid w:val="00976F86"/>
    <w:rsid w:val="00983D49"/>
    <w:rsid w:val="00986717"/>
    <w:rsid w:val="009A3A79"/>
    <w:rsid w:val="009C7457"/>
    <w:rsid w:val="009D0564"/>
    <w:rsid w:val="009E4456"/>
    <w:rsid w:val="009F00D1"/>
    <w:rsid w:val="009F09EA"/>
    <w:rsid w:val="009F5FC5"/>
    <w:rsid w:val="009F67FA"/>
    <w:rsid w:val="00A0104D"/>
    <w:rsid w:val="00A117E3"/>
    <w:rsid w:val="00A12147"/>
    <w:rsid w:val="00A125E9"/>
    <w:rsid w:val="00A17A28"/>
    <w:rsid w:val="00A24BE5"/>
    <w:rsid w:val="00A30AF6"/>
    <w:rsid w:val="00A32772"/>
    <w:rsid w:val="00A42EC5"/>
    <w:rsid w:val="00A44C7E"/>
    <w:rsid w:val="00A453ED"/>
    <w:rsid w:val="00A46F7F"/>
    <w:rsid w:val="00A766E9"/>
    <w:rsid w:val="00A7791D"/>
    <w:rsid w:val="00A77E67"/>
    <w:rsid w:val="00A77EDA"/>
    <w:rsid w:val="00A813B5"/>
    <w:rsid w:val="00A94784"/>
    <w:rsid w:val="00AA0736"/>
    <w:rsid w:val="00AA127A"/>
    <w:rsid w:val="00AA334D"/>
    <w:rsid w:val="00AB302C"/>
    <w:rsid w:val="00AC4B0C"/>
    <w:rsid w:val="00AD707E"/>
    <w:rsid w:val="00AE53FA"/>
    <w:rsid w:val="00AE60ED"/>
    <w:rsid w:val="00AF53F6"/>
    <w:rsid w:val="00B03D45"/>
    <w:rsid w:val="00B1210F"/>
    <w:rsid w:val="00B22DA8"/>
    <w:rsid w:val="00B2649E"/>
    <w:rsid w:val="00B461A3"/>
    <w:rsid w:val="00B46F15"/>
    <w:rsid w:val="00B5241F"/>
    <w:rsid w:val="00B55075"/>
    <w:rsid w:val="00B560C3"/>
    <w:rsid w:val="00B60236"/>
    <w:rsid w:val="00B65951"/>
    <w:rsid w:val="00B66024"/>
    <w:rsid w:val="00B7233E"/>
    <w:rsid w:val="00B757CB"/>
    <w:rsid w:val="00B866B7"/>
    <w:rsid w:val="00B91310"/>
    <w:rsid w:val="00B915C3"/>
    <w:rsid w:val="00BA4F98"/>
    <w:rsid w:val="00BB3D7F"/>
    <w:rsid w:val="00BB5311"/>
    <w:rsid w:val="00BC4407"/>
    <w:rsid w:val="00BC5966"/>
    <w:rsid w:val="00BC601B"/>
    <w:rsid w:val="00BD1507"/>
    <w:rsid w:val="00BD7611"/>
    <w:rsid w:val="00BE34E5"/>
    <w:rsid w:val="00BE5940"/>
    <w:rsid w:val="00BF2D8D"/>
    <w:rsid w:val="00BF3B8D"/>
    <w:rsid w:val="00C010B8"/>
    <w:rsid w:val="00C013D0"/>
    <w:rsid w:val="00C01F43"/>
    <w:rsid w:val="00C02EF2"/>
    <w:rsid w:val="00C04EB7"/>
    <w:rsid w:val="00C10F8A"/>
    <w:rsid w:val="00C10FBB"/>
    <w:rsid w:val="00C15A13"/>
    <w:rsid w:val="00C16C70"/>
    <w:rsid w:val="00C207C7"/>
    <w:rsid w:val="00C25786"/>
    <w:rsid w:val="00C27CD3"/>
    <w:rsid w:val="00C306EE"/>
    <w:rsid w:val="00C5296C"/>
    <w:rsid w:val="00C52EBF"/>
    <w:rsid w:val="00C600B3"/>
    <w:rsid w:val="00C614F0"/>
    <w:rsid w:val="00C641E1"/>
    <w:rsid w:val="00C6575A"/>
    <w:rsid w:val="00C66449"/>
    <w:rsid w:val="00C80F8F"/>
    <w:rsid w:val="00C8119C"/>
    <w:rsid w:val="00C81ADB"/>
    <w:rsid w:val="00C855BD"/>
    <w:rsid w:val="00C878CF"/>
    <w:rsid w:val="00C90A38"/>
    <w:rsid w:val="00C91CC4"/>
    <w:rsid w:val="00C91D75"/>
    <w:rsid w:val="00C95314"/>
    <w:rsid w:val="00C95A90"/>
    <w:rsid w:val="00CA3B8D"/>
    <w:rsid w:val="00CA6479"/>
    <w:rsid w:val="00CB08FB"/>
    <w:rsid w:val="00CB4F1F"/>
    <w:rsid w:val="00CC0FC3"/>
    <w:rsid w:val="00CC13AD"/>
    <w:rsid w:val="00CC1533"/>
    <w:rsid w:val="00CC1975"/>
    <w:rsid w:val="00CD5829"/>
    <w:rsid w:val="00CD746B"/>
    <w:rsid w:val="00CD7A50"/>
    <w:rsid w:val="00CE3462"/>
    <w:rsid w:val="00CE580F"/>
    <w:rsid w:val="00CF2C44"/>
    <w:rsid w:val="00CF3505"/>
    <w:rsid w:val="00D0345D"/>
    <w:rsid w:val="00D040E1"/>
    <w:rsid w:val="00D161C6"/>
    <w:rsid w:val="00D2299E"/>
    <w:rsid w:val="00D46922"/>
    <w:rsid w:val="00D4708F"/>
    <w:rsid w:val="00D47D49"/>
    <w:rsid w:val="00D47E14"/>
    <w:rsid w:val="00D51DDF"/>
    <w:rsid w:val="00D577D5"/>
    <w:rsid w:val="00D61BAC"/>
    <w:rsid w:val="00D938A4"/>
    <w:rsid w:val="00D9565E"/>
    <w:rsid w:val="00D95CD2"/>
    <w:rsid w:val="00DA0828"/>
    <w:rsid w:val="00DA18E7"/>
    <w:rsid w:val="00DA3C68"/>
    <w:rsid w:val="00DA75D9"/>
    <w:rsid w:val="00DB0385"/>
    <w:rsid w:val="00DB05D1"/>
    <w:rsid w:val="00DB150F"/>
    <w:rsid w:val="00DB2795"/>
    <w:rsid w:val="00DB431D"/>
    <w:rsid w:val="00DB4C61"/>
    <w:rsid w:val="00DB569F"/>
    <w:rsid w:val="00DC722B"/>
    <w:rsid w:val="00DD4426"/>
    <w:rsid w:val="00DE01CD"/>
    <w:rsid w:val="00DE69D4"/>
    <w:rsid w:val="00DF057F"/>
    <w:rsid w:val="00DF2863"/>
    <w:rsid w:val="00DF4808"/>
    <w:rsid w:val="00DF5C6A"/>
    <w:rsid w:val="00E01720"/>
    <w:rsid w:val="00E02C7C"/>
    <w:rsid w:val="00E06238"/>
    <w:rsid w:val="00E101FD"/>
    <w:rsid w:val="00E2056E"/>
    <w:rsid w:val="00E23B1A"/>
    <w:rsid w:val="00E35EF8"/>
    <w:rsid w:val="00E40067"/>
    <w:rsid w:val="00E432BD"/>
    <w:rsid w:val="00E45977"/>
    <w:rsid w:val="00E55D60"/>
    <w:rsid w:val="00E6220D"/>
    <w:rsid w:val="00E6658D"/>
    <w:rsid w:val="00E6706B"/>
    <w:rsid w:val="00E95E9D"/>
    <w:rsid w:val="00EA14C7"/>
    <w:rsid w:val="00EA368C"/>
    <w:rsid w:val="00EA6291"/>
    <w:rsid w:val="00EA79F8"/>
    <w:rsid w:val="00EB3F1D"/>
    <w:rsid w:val="00EB62C8"/>
    <w:rsid w:val="00EB7890"/>
    <w:rsid w:val="00EC210E"/>
    <w:rsid w:val="00EC4734"/>
    <w:rsid w:val="00ED3096"/>
    <w:rsid w:val="00ED5328"/>
    <w:rsid w:val="00ED6FF4"/>
    <w:rsid w:val="00EE199E"/>
    <w:rsid w:val="00EE5AB6"/>
    <w:rsid w:val="00EE5ED5"/>
    <w:rsid w:val="00EE704C"/>
    <w:rsid w:val="00EF267C"/>
    <w:rsid w:val="00EF4292"/>
    <w:rsid w:val="00F0424E"/>
    <w:rsid w:val="00F04DC3"/>
    <w:rsid w:val="00F103F9"/>
    <w:rsid w:val="00F355DC"/>
    <w:rsid w:val="00F43382"/>
    <w:rsid w:val="00F449CF"/>
    <w:rsid w:val="00F5058A"/>
    <w:rsid w:val="00F5329B"/>
    <w:rsid w:val="00F5380D"/>
    <w:rsid w:val="00F718C1"/>
    <w:rsid w:val="00F76886"/>
    <w:rsid w:val="00F779D6"/>
    <w:rsid w:val="00F81FA4"/>
    <w:rsid w:val="00F83C58"/>
    <w:rsid w:val="00F843A7"/>
    <w:rsid w:val="00F86AEC"/>
    <w:rsid w:val="00F90BA8"/>
    <w:rsid w:val="00FA2825"/>
    <w:rsid w:val="00FA4564"/>
    <w:rsid w:val="00FA716A"/>
    <w:rsid w:val="00FB2B86"/>
    <w:rsid w:val="00FB36A3"/>
    <w:rsid w:val="00FC37A9"/>
    <w:rsid w:val="00FC4E9B"/>
    <w:rsid w:val="00FC7D71"/>
    <w:rsid w:val="00FE5E77"/>
    <w:rsid w:val="00FF2C9F"/>
    <w:rsid w:val="00FF41E2"/>
    <w:rsid w:val="00FF7323"/>
    <w:rsid w:val="00FF7A71"/>
    <w:rsid w:val="2D105492"/>
    <w:rsid w:val="7B7C0613"/>
    <w:rsid w:val="7F0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qFormat/>
    <w:rsid w:val="004117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80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5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5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5C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C6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E1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ixabank.com/es/actualidad/noticias/caixabank-premia-20-proyectos-de-emprendimiento-rural-de-toda-espana-con-tierra-de-oportunidades-programa-para-fijar-poblacion-y-crear-empleo-en-el-mundo-rur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7B85F170DD54294977EE1858E8D1A" ma:contentTypeVersion="13" ma:contentTypeDescription="Crear nuevo documento." ma:contentTypeScope="" ma:versionID="bd857fa510fb4959f9e39b56e161e3b5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42295b22cac0f89ab6e6e7d031bd25cc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384C-C2A2-440F-9069-E3F3142CF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AFE26-4DFB-464F-A6E3-7D7664901BBE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customXml/itemProps3.xml><?xml version="1.0" encoding="utf-8"?>
<ds:datastoreItem xmlns:ds="http://schemas.openxmlformats.org/officeDocument/2006/customXml" ds:itemID="{DEB310A4-7AA8-470F-A5F9-9A672C1BB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1128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13</cp:revision>
  <cp:lastPrinted>2026-05-18T07:52:00Z</cp:lastPrinted>
  <dcterms:created xsi:type="dcterms:W3CDTF">2026-05-15T06:43:00Z</dcterms:created>
  <dcterms:modified xsi:type="dcterms:W3CDTF">2026-05-19T06:47:00Z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MediaServiceImageTags">
    <vt:lpwstr/>
  </property>
  <property fmtid="{D5CDD505-2E9C-101B-9397-08002B2CF9AE}" pid="10" name="docLang">
    <vt:lpwstr>la</vt:lpwstr>
  </property>
  <property fmtid="{D5CDD505-2E9C-101B-9397-08002B2CF9AE}" pid="11" name="Order">
    <vt:r8>56866900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ContentTypeId">
    <vt:lpwstr>0x010100F247B85F170DD54294977EE1858E8D1A</vt:lpwstr>
  </property>
</Properties>
</file>