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08D5" w14:textId="4A300F24" w:rsidR="00876D50" w:rsidRPr="00024F54" w:rsidRDefault="00C81ADB" w:rsidP="00876D50">
      <w:pPr>
        <w:ind w:left="-426"/>
        <w:jc w:val="both"/>
        <w:rPr>
          <w:rFonts w:ascii="Arial" w:hAnsi="Arial" w:cs="Arial"/>
          <w:b/>
          <w:i/>
          <w:iCs/>
          <w:color w:val="009FEA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CaixaBank</w:t>
      </w:r>
      <w:bookmarkStart w:id="0" w:name="_Hlk157090617"/>
      <w:r w:rsidR="00876D50" w:rsidRPr="00876D50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 </w:t>
      </w:r>
      <w:r w:rsidR="00876D50">
        <w:rPr>
          <w:rFonts w:ascii="Arial" w:hAnsi="Arial" w:cs="Arial"/>
          <w:b/>
          <w:i/>
          <w:iCs/>
          <w:color w:val="009FEA"/>
          <w:sz w:val="32"/>
          <w:szCs w:val="32"/>
        </w:rPr>
        <w:t>Wealth Management analiza</w:t>
      </w:r>
      <w:r w:rsidR="003D7C57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 las perspectivas financieras para </w:t>
      </w:r>
      <w:r w:rsidR="003D7C57" w:rsidRPr="00024F54">
        <w:rPr>
          <w:rFonts w:ascii="Arial" w:hAnsi="Arial" w:cs="Arial"/>
          <w:b/>
          <w:i/>
          <w:iCs/>
          <w:color w:val="009FEA"/>
          <w:sz w:val="32"/>
          <w:szCs w:val="32"/>
        </w:rPr>
        <w:t>20</w:t>
      </w:r>
      <w:r w:rsidR="003D7C57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26 </w:t>
      </w:r>
      <w:r w:rsidR="00876D50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con sus clientes de </w:t>
      </w:r>
      <w:r w:rsidR="00A35505">
        <w:rPr>
          <w:rFonts w:ascii="Arial" w:hAnsi="Arial" w:cs="Arial"/>
          <w:b/>
          <w:i/>
          <w:iCs/>
          <w:color w:val="009FEA"/>
          <w:sz w:val="32"/>
          <w:szCs w:val="32"/>
        </w:rPr>
        <w:t>La Rioja</w:t>
      </w:r>
    </w:p>
    <w:bookmarkEnd w:id="0"/>
    <w:p w14:paraId="66CAF241" w14:textId="77777777" w:rsidR="001E4FCE" w:rsidRPr="002F01A1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0B08CA3A" w14:textId="7DD4E639" w:rsidR="00876D50" w:rsidRDefault="00876D50" w:rsidP="00876D50">
      <w:pPr>
        <w:pStyle w:val="Prrafodelista"/>
        <w:numPr>
          <w:ilvl w:val="0"/>
          <w:numId w:val="1"/>
        </w:numPr>
        <w:spacing w:line="240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Más de </w:t>
      </w:r>
      <w:r w:rsidR="003D4CEA">
        <w:rPr>
          <w:rFonts w:ascii="Arial" w:hAnsi="Arial" w:cs="Arial"/>
          <w:b/>
          <w:bCs/>
          <w:i/>
          <w:iCs/>
          <w:sz w:val="24"/>
          <w:szCs w:val="24"/>
        </w:rPr>
        <w:t>un centenar de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B3070">
        <w:rPr>
          <w:rFonts w:ascii="Arial" w:hAnsi="Arial" w:cs="Arial"/>
          <w:b/>
          <w:bCs/>
          <w:i/>
          <w:iCs/>
          <w:sz w:val="24"/>
          <w:szCs w:val="24"/>
        </w:rPr>
        <w:t xml:space="preserve">clientes </w:t>
      </w:r>
      <w:r w:rsidR="005B3070" w:rsidRPr="005B3070">
        <w:rPr>
          <w:rFonts w:ascii="Arial" w:hAnsi="Arial" w:cs="Arial"/>
          <w:b/>
          <w:bCs/>
          <w:sz w:val="24"/>
          <w:szCs w:val="24"/>
        </w:rPr>
        <w:t>del área de gestión de patrimonios y banca privada de CaixaBank</w:t>
      </w:r>
      <w:r w:rsidR="005B3070" w:rsidRPr="005B307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B3070">
        <w:rPr>
          <w:rFonts w:ascii="Arial" w:hAnsi="Arial" w:cs="Arial"/>
          <w:b/>
          <w:bCs/>
          <w:i/>
          <w:iCs/>
          <w:sz w:val="24"/>
          <w:szCs w:val="24"/>
        </w:rPr>
        <w:t xml:space="preserve">en </w:t>
      </w:r>
      <w:r w:rsidR="00A35505" w:rsidRPr="005B3070">
        <w:rPr>
          <w:rFonts w:ascii="Arial" w:hAnsi="Arial" w:cs="Arial"/>
          <w:b/>
          <w:bCs/>
          <w:i/>
          <w:iCs/>
          <w:sz w:val="24"/>
          <w:szCs w:val="24"/>
        </w:rPr>
        <w:t xml:space="preserve">La Rioja </w:t>
      </w:r>
      <w:r w:rsidRPr="005B3070">
        <w:rPr>
          <w:rFonts w:ascii="Arial" w:hAnsi="Arial" w:cs="Arial"/>
          <w:b/>
          <w:bCs/>
          <w:i/>
          <w:iCs/>
          <w:sz w:val="24"/>
          <w:szCs w:val="24"/>
        </w:rPr>
        <w:t>han podido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participar en un encuentro en el que se han repasado las claves de inversión para los próximos meses.</w:t>
      </w:r>
    </w:p>
    <w:p w14:paraId="6B42CC3D" w14:textId="77777777" w:rsidR="00876D50" w:rsidRDefault="00876D50" w:rsidP="00876D50">
      <w:pPr>
        <w:pStyle w:val="Prrafodelista"/>
        <w:spacing w:line="240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2BFA86D" w14:textId="203193A7" w:rsidR="00DE2A54" w:rsidRDefault="00951687" w:rsidP="6821ED49">
      <w:pPr>
        <w:pStyle w:val="Prrafodelista"/>
        <w:numPr>
          <w:ilvl w:val="0"/>
          <w:numId w:val="1"/>
        </w:numPr>
        <w:spacing w:line="240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El informe Perspectivas </w:t>
      </w:r>
      <w:r w:rsidR="00876D50" w:rsidRPr="6821ED49">
        <w:rPr>
          <w:rFonts w:ascii="Arial" w:hAnsi="Arial" w:cs="Arial"/>
          <w:b/>
          <w:bCs/>
          <w:i/>
          <w:iCs/>
          <w:sz w:val="24"/>
          <w:szCs w:val="24"/>
        </w:rPr>
        <w:t>202</w:t>
      </w: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>6 analiza el comportamiento de las burbujas financieras y cómo la</w:t>
      </w:r>
      <w:r w:rsidR="00576B8E"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actual</w:t>
      </w: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inversión en IA </w:t>
      </w:r>
      <w:r w:rsidR="00576B8E" w:rsidRPr="6821ED49">
        <w:rPr>
          <w:rFonts w:ascii="Arial" w:hAnsi="Arial" w:cs="Arial"/>
          <w:b/>
          <w:bCs/>
          <w:i/>
          <w:iCs/>
          <w:sz w:val="24"/>
          <w:szCs w:val="24"/>
        </w:rPr>
        <w:t>podría dejar</w:t>
      </w: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tras de sí mejoras e infraestructuras que benefician al conjunto de la sociedad.</w:t>
      </w:r>
      <w:r w:rsidR="00876D50"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2264CA4F" w14:textId="77777777" w:rsidR="006A2AD3" w:rsidRPr="00E71F24" w:rsidRDefault="006A2AD3" w:rsidP="006A2AD3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D4F2382" w14:textId="346DDB8E" w:rsidR="001E4FCE" w:rsidRDefault="00A35505" w:rsidP="00E71F24">
      <w:pPr>
        <w:spacing w:line="240" w:lineRule="auto"/>
        <w:ind w:left="-426" w:right="-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Logroño</w:t>
      </w:r>
      <w:r w:rsidR="00E17E92" w:rsidRPr="6821ED4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19</w:t>
      </w:r>
      <w:r w:rsidR="00E17E92" w:rsidRPr="6821ED49">
        <w:rPr>
          <w:rFonts w:ascii="Arial" w:hAnsi="Arial" w:cs="Arial"/>
          <w:b/>
          <w:bCs/>
        </w:rPr>
        <w:t xml:space="preserve"> de </w:t>
      </w:r>
      <w:r w:rsidR="750D23FD" w:rsidRPr="6821ED49">
        <w:rPr>
          <w:rFonts w:ascii="Arial" w:hAnsi="Arial" w:cs="Arial"/>
          <w:b/>
          <w:bCs/>
        </w:rPr>
        <w:t>febr</w:t>
      </w:r>
      <w:r w:rsidR="00876D50" w:rsidRPr="6821ED49">
        <w:rPr>
          <w:rFonts w:ascii="Arial" w:hAnsi="Arial" w:cs="Arial"/>
          <w:b/>
          <w:bCs/>
        </w:rPr>
        <w:t>ero</w:t>
      </w:r>
      <w:r w:rsidR="00E17E92" w:rsidRPr="6821ED49">
        <w:rPr>
          <w:rFonts w:ascii="Arial" w:hAnsi="Arial" w:cs="Arial"/>
          <w:b/>
          <w:bCs/>
        </w:rPr>
        <w:t xml:space="preserve"> de 202</w:t>
      </w:r>
      <w:r w:rsidR="00876D50" w:rsidRPr="6821ED49">
        <w:rPr>
          <w:rFonts w:ascii="Arial" w:hAnsi="Arial" w:cs="Arial"/>
          <w:b/>
          <w:bCs/>
        </w:rPr>
        <w:t>6</w:t>
      </w:r>
    </w:p>
    <w:p w14:paraId="2F587FD0" w14:textId="77777777" w:rsidR="006A2AD3" w:rsidRPr="00E71F24" w:rsidRDefault="006A2AD3" w:rsidP="00E71F24">
      <w:pPr>
        <w:spacing w:line="240" w:lineRule="auto"/>
        <w:ind w:left="-426" w:right="-568"/>
        <w:rPr>
          <w:rFonts w:ascii="Arial" w:hAnsi="Arial" w:cs="Arial"/>
          <w:b/>
          <w:bCs/>
        </w:rPr>
      </w:pPr>
    </w:p>
    <w:p w14:paraId="1EC2DAB4" w14:textId="44889B2D" w:rsidR="00876D50" w:rsidRDefault="00876D50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024F54">
        <w:rPr>
          <w:rFonts w:ascii="Arial" w:hAnsi="Arial" w:cs="Arial"/>
        </w:rPr>
        <w:t xml:space="preserve">CaixaBank </w:t>
      </w:r>
      <w:r>
        <w:rPr>
          <w:rFonts w:ascii="Arial" w:hAnsi="Arial" w:cs="Arial"/>
        </w:rPr>
        <w:t xml:space="preserve">Wealth Management </w:t>
      </w:r>
      <w:r w:rsidRPr="00310B9D">
        <w:rPr>
          <w:rFonts w:ascii="Arial" w:hAnsi="Arial" w:cs="Arial"/>
          <w:color w:val="000000" w:themeColor="text1"/>
        </w:rPr>
        <w:t>ha reunido en</w:t>
      </w:r>
      <w:r w:rsidR="00A35505">
        <w:rPr>
          <w:rFonts w:ascii="Arial" w:hAnsi="Arial" w:cs="Arial"/>
          <w:color w:val="000000" w:themeColor="text1"/>
        </w:rPr>
        <w:t xml:space="preserve"> </w:t>
      </w:r>
      <w:r w:rsidR="00A35505" w:rsidRPr="00B66055">
        <w:rPr>
          <w:rFonts w:ascii="Arial" w:hAnsi="Arial" w:cs="Arial"/>
          <w:color w:val="000000" w:themeColor="text1"/>
        </w:rPr>
        <w:t xml:space="preserve">Logroño, </w:t>
      </w:r>
      <w:r w:rsidRPr="00B66055">
        <w:rPr>
          <w:rFonts w:ascii="Arial" w:hAnsi="Arial" w:cs="Arial"/>
          <w:color w:val="000000" w:themeColor="text1"/>
        </w:rPr>
        <w:t xml:space="preserve">a más de </w:t>
      </w:r>
      <w:r w:rsidR="003D4CEA" w:rsidRPr="00B66055">
        <w:rPr>
          <w:rFonts w:ascii="Arial" w:hAnsi="Arial" w:cs="Arial"/>
          <w:color w:val="000000" w:themeColor="text1"/>
        </w:rPr>
        <w:t>100</w:t>
      </w:r>
      <w:r w:rsidRPr="00310B9D">
        <w:rPr>
          <w:rFonts w:ascii="Arial" w:hAnsi="Arial" w:cs="Arial"/>
          <w:color w:val="000000" w:themeColor="text1"/>
        </w:rPr>
        <w:t xml:space="preserve"> clientes de la entidad para analizar la evolución de los mercados y dar a conocer las previsiones económicas y financieras</w:t>
      </w:r>
      <w:r>
        <w:rPr>
          <w:rFonts w:ascii="Arial" w:hAnsi="Arial" w:cs="Arial"/>
          <w:color w:val="000000" w:themeColor="text1"/>
        </w:rPr>
        <w:t>, y las tendencias de inversión para el ejercicio</w:t>
      </w:r>
      <w:r w:rsidRPr="00310B9D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6</w:t>
      </w:r>
      <w:r w:rsidRPr="00310B9D">
        <w:rPr>
          <w:rFonts w:ascii="Arial" w:hAnsi="Arial" w:cs="Arial"/>
          <w:color w:val="000000" w:themeColor="text1"/>
        </w:rPr>
        <w:t>. La jornada</w:t>
      </w:r>
      <w:r>
        <w:rPr>
          <w:rFonts w:ascii="Arial" w:hAnsi="Arial" w:cs="Arial"/>
          <w:color w:val="000000" w:themeColor="text1"/>
        </w:rPr>
        <w:t>, con una presentación titulada “</w:t>
      </w:r>
      <w:r>
        <w:rPr>
          <w:rFonts w:ascii="Arial" w:hAnsi="Arial" w:cs="Arial"/>
          <w:color w:val="000000" w:themeColor="text1"/>
          <w:u w:val="single"/>
        </w:rPr>
        <w:t>La función social de las burbujas</w:t>
      </w:r>
      <w:r>
        <w:rPr>
          <w:rFonts w:ascii="Arial" w:hAnsi="Arial" w:cs="Arial"/>
          <w:color w:val="000000" w:themeColor="text1"/>
        </w:rPr>
        <w:t>”,</w:t>
      </w:r>
      <w:r w:rsidRPr="00310B9D">
        <w:rPr>
          <w:rFonts w:ascii="Arial" w:hAnsi="Arial" w:cs="Arial"/>
          <w:color w:val="000000" w:themeColor="text1"/>
        </w:rPr>
        <w:t xml:space="preserve"> se enmarca en el ciclo anual de conferencias ‘Perspectivas’</w:t>
      </w:r>
      <w:r>
        <w:rPr>
          <w:rFonts w:ascii="Arial" w:hAnsi="Arial" w:cs="Arial"/>
          <w:color w:val="000000" w:themeColor="text1"/>
        </w:rPr>
        <w:t>;</w:t>
      </w:r>
      <w:r w:rsidRPr="00310B9D">
        <w:rPr>
          <w:rFonts w:ascii="Arial" w:hAnsi="Arial" w:cs="Arial"/>
          <w:color w:val="000000" w:themeColor="text1"/>
        </w:rPr>
        <w:t xml:space="preserve"> una iniciativa ya consolidada para clientes pertenecientes al segmento de </w:t>
      </w:r>
      <w:r>
        <w:rPr>
          <w:rFonts w:ascii="Arial" w:hAnsi="Arial" w:cs="Arial"/>
          <w:color w:val="000000" w:themeColor="text1"/>
        </w:rPr>
        <w:t>Wealth Management de la entidad, con más de 20 encuentros repartidos por to</w:t>
      </w:r>
      <w:r w:rsidRPr="00310B9D">
        <w:rPr>
          <w:rFonts w:ascii="Arial" w:hAnsi="Arial" w:cs="Arial"/>
          <w:color w:val="000000" w:themeColor="text1"/>
        </w:rPr>
        <w:t xml:space="preserve">da la geografía española. </w:t>
      </w:r>
    </w:p>
    <w:p w14:paraId="77AC7C2A" w14:textId="347AD447" w:rsidR="00722B9E" w:rsidRDefault="00876D50" w:rsidP="00722B9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6821ED49">
        <w:rPr>
          <w:rFonts w:ascii="Arial" w:hAnsi="Arial" w:cs="Arial"/>
        </w:rPr>
        <w:t xml:space="preserve">En la </w:t>
      </w:r>
      <w:r w:rsidRPr="00B66055">
        <w:rPr>
          <w:rFonts w:ascii="Arial" w:hAnsi="Arial" w:cs="Arial"/>
        </w:rPr>
        <w:t xml:space="preserve">sesión, en la que han participado </w:t>
      </w:r>
      <w:r w:rsidR="00A35505" w:rsidRPr="00B66055">
        <w:rPr>
          <w:rFonts w:ascii="Arial" w:hAnsi="Arial" w:cs="Arial"/>
        </w:rPr>
        <w:t xml:space="preserve">Iñigo Latorre, </w:t>
      </w:r>
      <w:r w:rsidR="00B66055" w:rsidRPr="00B66055">
        <w:rPr>
          <w:rFonts w:ascii="Arial" w:hAnsi="Arial" w:cs="Arial"/>
        </w:rPr>
        <w:t>director de</w:t>
      </w:r>
      <w:r w:rsidRPr="00B66055">
        <w:rPr>
          <w:rFonts w:ascii="Arial" w:hAnsi="Arial" w:cs="Arial"/>
        </w:rPr>
        <w:t xml:space="preserve"> CaixaBank Wealth Management</w:t>
      </w:r>
      <w:r w:rsidR="00A35505" w:rsidRPr="00B66055">
        <w:rPr>
          <w:rFonts w:ascii="Arial" w:hAnsi="Arial" w:cs="Arial"/>
        </w:rPr>
        <w:t xml:space="preserve"> en La Rioja</w:t>
      </w:r>
      <w:r w:rsidRPr="00B66055">
        <w:rPr>
          <w:rFonts w:ascii="Arial" w:hAnsi="Arial" w:cs="Arial"/>
        </w:rPr>
        <w:t xml:space="preserve">, y </w:t>
      </w:r>
      <w:r w:rsidR="003D4CEA" w:rsidRPr="00B66055">
        <w:rPr>
          <w:rFonts w:ascii="Arial" w:hAnsi="Arial" w:cs="Arial"/>
        </w:rPr>
        <w:t>Santiago Rubio,</w:t>
      </w:r>
      <w:r w:rsidR="00B66055">
        <w:rPr>
          <w:rFonts w:ascii="Arial" w:hAnsi="Arial" w:cs="Arial"/>
        </w:rPr>
        <w:t xml:space="preserve"> </w:t>
      </w:r>
      <w:r w:rsidR="003D4CEA" w:rsidRPr="00B66055">
        <w:rPr>
          <w:rFonts w:ascii="Arial" w:hAnsi="Arial" w:cs="Arial"/>
        </w:rPr>
        <w:t xml:space="preserve">director de Estrategia e </w:t>
      </w:r>
      <w:r w:rsidR="00B66055" w:rsidRPr="00B66055">
        <w:rPr>
          <w:rFonts w:ascii="Arial" w:hAnsi="Arial" w:cs="Arial"/>
        </w:rPr>
        <w:t>Inversión de</w:t>
      </w:r>
      <w:r w:rsidRPr="00B66055">
        <w:rPr>
          <w:rFonts w:ascii="Arial" w:hAnsi="Arial" w:cs="Arial"/>
        </w:rPr>
        <w:t xml:space="preserve"> CaixaBank </w:t>
      </w:r>
      <w:r w:rsidR="00F73FCC" w:rsidRPr="00B66055">
        <w:rPr>
          <w:rFonts w:ascii="Arial" w:hAnsi="Arial" w:cs="Arial"/>
        </w:rPr>
        <w:t>AM,</w:t>
      </w:r>
      <w:r w:rsidRPr="6821ED49">
        <w:rPr>
          <w:rFonts w:ascii="Arial" w:hAnsi="Arial" w:cs="Arial"/>
        </w:rPr>
        <w:t xml:space="preserve"> se ha realizado un</w:t>
      </w:r>
      <w:r w:rsidR="4552ACFB" w:rsidRPr="6821ED49">
        <w:rPr>
          <w:rFonts w:ascii="Arial" w:hAnsi="Arial" w:cs="Arial"/>
        </w:rPr>
        <w:t>a</w:t>
      </w:r>
      <w:r w:rsidRPr="6821ED49">
        <w:rPr>
          <w:rFonts w:ascii="Arial" w:hAnsi="Arial" w:cs="Arial"/>
        </w:rPr>
        <w:t xml:space="preserve"> reflexión profunda sobre </w:t>
      </w:r>
      <w:r w:rsidR="003E2EB8" w:rsidRPr="6821ED49">
        <w:rPr>
          <w:rFonts w:ascii="Arial" w:hAnsi="Arial" w:cs="Arial"/>
        </w:rPr>
        <w:t xml:space="preserve">la función social </w:t>
      </w:r>
      <w:r w:rsidRPr="6821ED49">
        <w:rPr>
          <w:rFonts w:ascii="Arial" w:hAnsi="Arial" w:cs="Arial"/>
        </w:rPr>
        <w:t xml:space="preserve">que juegan </w:t>
      </w:r>
      <w:r w:rsidR="0023081A" w:rsidRPr="6821ED49">
        <w:rPr>
          <w:rFonts w:ascii="Arial" w:hAnsi="Arial" w:cs="Arial"/>
        </w:rPr>
        <w:t>las</w:t>
      </w:r>
      <w:r w:rsidR="00722B9E" w:rsidRPr="6821ED49">
        <w:rPr>
          <w:rFonts w:ascii="Arial" w:hAnsi="Arial" w:cs="Arial"/>
        </w:rPr>
        <w:t xml:space="preserve"> burbujas</w:t>
      </w:r>
      <w:r w:rsidR="0023081A" w:rsidRPr="6821ED49">
        <w:rPr>
          <w:rFonts w:ascii="Arial" w:hAnsi="Arial" w:cs="Arial"/>
        </w:rPr>
        <w:t xml:space="preserve"> </w:t>
      </w:r>
      <w:r w:rsidR="003E2EB8" w:rsidRPr="6821ED49">
        <w:rPr>
          <w:rFonts w:ascii="Arial" w:hAnsi="Arial" w:cs="Arial"/>
        </w:rPr>
        <w:t xml:space="preserve">económicas, analizando cómo han transformado el panorama global en diversas etapas de la historia, y </w:t>
      </w:r>
      <w:r w:rsidR="00722B9E" w:rsidRPr="6821ED49">
        <w:rPr>
          <w:rFonts w:ascii="Arial" w:hAnsi="Arial" w:cs="Arial"/>
        </w:rPr>
        <w:t xml:space="preserve">analiza lo que está ocurriendo en el ámbito de la Inteligencia Artificial. </w:t>
      </w:r>
      <w:r w:rsidR="00951687" w:rsidRPr="6821ED49">
        <w:rPr>
          <w:rFonts w:ascii="Arial" w:hAnsi="Arial" w:cs="Arial"/>
        </w:rPr>
        <w:t xml:space="preserve">Según el informe, </w:t>
      </w:r>
      <w:r w:rsidR="003E2EB8" w:rsidRPr="6821ED49">
        <w:rPr>
          <w:rFonts w:ascii="Arial" w:hAnsi="Arial" w:cs="Arial"/>
        </w:rPr>
        <w:t xml:space="preserve">como en otras ocasiones, las burbujas actúan como impulsores del cambio y la innovación; y aunque pueden generar inversiones excesivas, éstas acaban revirtiendo en infraestructuras que benefician a toda la sociedad. En el caso de </w:t>
      </w:r>
      <w:r w:rsidR="0023081A" w:rsidRPr="6821ED49">
        <w:rPr>
          <w:rFonts w:ascii="Arial" w:hAnsi="Arial" w:cs="Arial"/>
        </w:rPr>
        <w:t>la IA</w:t>
      </w:r>
      <w:r w:rsidR="003E2EB8" w:rsidRPr="6821ED49">
        <w:rPr>
          <w:rFonts w:ascii="Arial" w:hAnsi="Arial" w:cs="Arial"/>
        </w:rPr>
        <w:t xml:space="preserve"> generativa, </w:t>
      </w:r>
      <w:r w:rsidR="0023081A" w:rsidRPr="6821ED49">
        <w:rPr>
          <w:rFonts w:ascii="Arial" w:hAnsi="Arial" w:cs="Arial"/>
        </w:rPr>
        <w:t>está movilizando inversiones descomunales, sobre todo a partir de la aparición del primeros “grandes modelos de lenguaje natural” como ChatGPT</w:t>
      </w:r>
      <w:r w:rsidR="003E2EB8" w:rsidRPr="6821ED49">
        <w:rPr>
          <w:rFonts w:ascii="Arial" w:hAnsi="Arial" w:cs="Arial"/>
        </w:rPr>
        <w:t xml:space="preserve">, que está impulsando infraestructuras que podrían transformar sectores como la generación y la distribución eléctrica, beneficiando </w:t>
      </w:r>
      <w:r w:rsidR="00951687" w:rsidRPr="6821ED49">
        <w:rPr>
          <w:rFonts w:ascii="Arial" w:hAnsi="Arial" w:cs="Arial"/>
        </w:rPr>
        <w:t>al conjunto de la sociedad</w:t>
      </w:r>
      <w:r w:rsidR="0023081A" w:rsidRPr="6821ED49">
        <w:rPr>
          <w:rFonts w:ascii="Arial" w:hAnsi="Arial" w:cs="Arial"/>
        </w:rPr>
        <w:t xml:space="preserve"> y genera</w:t>
      </w:r>
      <w:r w:rsidR="003E2EB8" w:rsidRPr="6821ED49">
        <w:rPr>
          <w:rFonts w:ascii="Arial" w:hAnsi="Arial" w:cs="Arial"/>
        </w:rPr>
        <w:t>ndo</w:t>
      </w:r>
      <w:r w:rsidR="0023081A" w:rsidRPr="6821ED49">
        <w:rPr>
          <w:rFonts w:ascii="Arial" w:hAnsi="Arial" w:cs="Arial"/>
        </w:rPr>
        <w:t xml:space="preserve"> grandes oportunidades. </w:t>
      </w:r>
    </w:p>
    <w:p w14:paraId="4130FDC4" w14:textId="77777777" w:rsidR="00722B9E" w:rsidRDefault="00876D50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674C0D">
        <w:rPr>
          <w:rFonts w:ascii="Arial" w:hAnsi="Arial" w:cs="Arial"/>
        </w:rPr>
        <w:t xml:space="preserve">En el ámbito de la </w:t>
      </w:r>
      <w:r w:rsidR="00722B9E">
        <w:rPr>
          <w:rFonts w:ascii="Arial" w:hAnsi="Arial" w:cs="Arial"/>
        </w:rPr>
        <w:t>macro</w:t>
      </w:r>
      <w:r w:rsidRPr="00674C0D">
        <w:rPr>
          <w:rFonts w:ascii="Arial" w:hAnsi="Arial" w:cs="Arial"/>
        </w:rPr>
        <w:t xml:space="preserve">economía, </w:t>
      </w:r>
      <w:r w:rsidR="00722B9E">
        <w:rPr>
          <w:rFonts w:ascii="Arial" w:hAnsi="Arial" w:cs="Arial"/>
        </w:rPr>
        <w:t xml:space="preserve">el informe revela tres grandes tendencias. </w:t>
      </w:r>
    </w:p>
    <w:p w14:paraId="0742C6E1" w14:textId="0C96DDB7" w:rsidR="00722B9E" w:rsidRDefault="00722B9E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En primer lugar, en Estados Unidos</w:t>
      </w:r>
      <w:r w:rsidR="002308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E2EB8">
        <w:rPr>
          <w:rFonts w:ascii="Arial" w:hAnsi="Arial" w:cs="Arial"/>
        </w:rPr>
        <w:t xml:space="preserve">en el que la inversión en IA ha amortiguado la desaceleración en </w:t>
      </w:r>
      <w:r w:rsidR="00F60006">
        <w:rPr>
          <w:rFonts w:ascii="Arial" w:hAnsi="Arial" w:cs="Arial"/>
        </w:rPr>
        <w:t xml:space="preserve">el crecimiento del empleo, con un mercado laboral que continúa </w:t>
      </w:r>
      <w:r>
        <w:rPr>
          <w:rFonts w:ascii="Arial" w:hAnsi="Arial" w:cs="Arial"/>
        </w:rPr>
        <w:t xml:space="preserve">mostrando </w:t>
      </w:r>
      <w:r w:rsidR="00F60006">
        <w:rPr>
          <w:rFonts w:ascii="Arial" w:hAnsi="Arial" w:cs="Arial"/>
        </w:rPr>
        <w:t xml:space="preserve">cierta </w:t>
      </w:r>
      <w:r>
        <w:rPr>
          <w:rFonts w:ascii="Arial" w:hAnsi="Arial" w:cs="Arial"/>
        </w:rPr>
        <w:t>fortaleza</w:t>
      </w:r>
      <w:r w:rsidR="003E2EB8">
        <w:rPr>
          <w:rFonts w:ascii="Arial" w:hAnsi="Arial" w:cs="Arial"/>
        </w:rPr>
        <w:t>.</w:t>
      </w:r>
      <w:r w:rsidR="00951687">
        <w:rPr>
          <w:rFonts w:ascii="Arial" w:hAnsi="Arial" w:cs="Arial"/>
        </w:rPr>
        <w:t xml:space="preserve"> Sin embargo, destaca </w:t>
      </w:r>
      <w:r w:rsidR="003D4CEA">
        <w:rPr>
          <w:rFonts w:ascii="Arial" w:hAnsi="Arial" w:cs="Arial"/>
        </w:rPr>
        <w:t>Santiago</w:t>
      </w:r>
      <w:r w:rsidR="00951687">
        <w:rPr>
          <w:rFonts w:ascii="Arial" w:hAnsi="Arial" w:cs="Arial"/>
        </w:rPr>
        <w:t>, “</w:t>
      </w:r>
      <w:r w:rsidR="00501D7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inflación persistente limita la capacidad de actuación de la </w:t>
      </w:r>
      <w:r w:rsidR="00501D7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eserva </w:t>
      </w:r>
      <w:r w:rsidR="00501D77">
        <w:rPr>
          <w:rFonts w:ascii="Arial" w:hAnsi="Arial" w:cs="Arial"/>
        </w:rPr>
        <w:t>F</w:t>
      </w:r>
      <w:r>
        <w:rPr>
          <w:rFonts w:ascii="Arial" w:hAnsi="Arial" w:cs="Arial"/>
        </w:rPr>
        <w:t>ederal</w:t>
      </w:r>
      <w:r w:rsidR="0023081A">
        <w:rPr>
          <w:rFonts w:ascii="Arial" w:hAnsi="Arial" w:cs="Arial"/>
        </w:rPr>
        <w:t xml:space="preserve"> para apoyar el crecimiento de forma agresiva”.</w:t>
      </w:r>
    </w:p>
    <w:p w14:paraId="244EC55B" w14:textId="7FAAD198" w:rsidR="00722B9E" w:rsidRDefault="00722B9E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segundo luga</w:t>
      </w:r>
      <w:r w:rsidR="00951687">
        <w:rPr>
          <w:rFonts w:ascii="Arial" w:hAnsi="Arial" w:cs="Arial"/>
        </w:rPr>
        <w:t>r,</w:t>
      </w:r>
      <w:r>
        <w:rPr>
          <w:rFonts w:ascii="Arial" w:hAnsi="Arial" w:cs="Arial"/>
        </w:rPr>
        <w:t xml:space="preserve"> en Europa</w:t>
      </w:r>
      <w:r w:rsidR="009516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la expansión fiscal en países como Alemania </w:t>
      </w:r>
      <w:r w:rsidR="0023081A">
        <w:rPr>
          <w:rFonts w:ascii="Arial" w:hAnsi="Arial" w:cs="Arial"/>
        </w:rPr>
        <w:t xml:space="preserve">y el buen momento de la periferia </w:t>
      </w:r>
      <w:r>
        <w:rPr>
          <w:rFonts w:ascii="Arial" w:hAnsi="Arial" w:cs="Arial"/>
        </w:rPr>
        <w:t xml:space="preserve">está mejorando la perspectiva a corto plazo, pero el informe alerta sobre la falta de progreso en áreas esenciales como </w:t>
      </w:r>
      <w:r w:rsidR="003E2EB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energía,</w:t>
      </w:r>
      <w:r w:rsidR="003E2EB8">
        <w:rPr>
          <w:rFonts w:ascii="Arial" w:hAnsi="Arial" w:cs="Arial"/>
        </w:rPr>
        <w:t xml:space="preserve"> los</w:t>
      </w:r>
      <w:r>
        <w:rPr>
          <w:rFonts w:ascii="Arial" w:hAnsi="Arial" w:cs="Arial"/>
        </w:rPr>
        <w:t xml:space="preserve"> mercado</w:t>
      </w:r>
      <w:r w:rsidR="002308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financiero</w:t>
      </w:r>
      <w:r w:rsidR="002308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 </w:t>
      </w:r>
      <w:r w:rsidR="003E2EB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in</w:t>
      </w:r>
      <w:r w:rsidR="00951687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="00951687">
        <w:rPr>
          <w:rFonts w:ascii="Arial" w:hAnsi="Arial" w:cs="Arial"/>
        </w:rPr>
        <w:t>v</w:t>
      </w:r>
      <w:r>
        <w:rPr>
          <w:rFonts w:ascii="Arial" w:hAnsi="Arial" w:cs="Arial"/>
        </w:rPr>
        <w:t>ación, lo que compromete la competitividad futura</w:t>
      </w:r>
      <w:r w:rsidR="00951687">
        <w:rPr>
          <w:rFonts w:ascii="Arial" w:hAnsi="Arial" w:cs="Arial"/>
        </w:rPr>
        <w:t xml:space="preserve"> del continente.</w:t>
      </w:r>
      <w:r>
        <w:rPr>
          <w:rFonts w:ascii="Arial" w:hAnsi="Arial" w:cs="Arial"/>
        </w:rPr>
        <w:t xml:space="preserve"> </w:t>
      </w:r>
    </w:p>
    <w:p w14:paraId="4C554568" w14:textId="4B4C9C25" w:rsidR="00501D77" w:rsidRDefault="00722B9E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Finalmente, sobre China, CaixaBank</w:t>
      </w:r>
      <w:r w:rsidR="00501D77">
        <w:rPr>
          <w:rFonts w:ascii="Arial" w:hAnsi="Arial" w:cs="Arial"/>
        </w:rPr>
        <w:t xml:space="preserve"> Wealth Management señala que el país sig</w:t>
      </w:r>
      <w:r w:rsidR="00576B8E">
        <w:rPr>
          <w:rFonts w:ascii="Arial" w:hAnsi="Arial" w:cs="Arial"/>
        </w:rPr>
        <w:t xml:space="preserve">ue </w:t>
      </w:r>
      <w:r w:rsidR="00501D77">
        <w:rPr>
          <w:rFonts w:ascii="Arial" w:hAnsi="Arial" w:cs="Arial"/>
        </w:rPr>
        <w:t xml:space="preserve">apoyándose en un modelo </w:t>
      </w:r>
      <w:r w:rsidR="00576B8E">
        <w:rPr>
          <w:rFonts w:ascii="Arial" w:hAnsi="Arial" w:cs="Arial"/>
        </w:rPr>
        <w:t>de crecimiento basado en la transferencia de rentas de las familias al sector industrial</w:t>
      </w:r>
      <w:r w:rsidR="003E2EB8">
        <w:rPr>
          <w:rFonts w:ascii="Arial" w:hAnsi="Arial" w:cs="Arial"/>
        </w:rPr>
        <w:t>; así como por las exportaciones</w:t>
      </w:r>
      <w:r w:rsidR="00576B8E">
        <w:rPr>
          <w:rFonts w:ascii="Arial" w:hAnsi="Arial" w:cs="Arial"/>
        </w:rPr>
        <w:t xml:space="preserve">. </w:t>
      </w:r>
      <w:r w:rsidR="00F60006">
        <w:rPr>
          <w:rFonts w:ascii="Arial" w:hAnsi="Arial" w:cs="Arial"/>
        </w:rPr>
        <w:t xml:space="preserve">En consecuencia, </w:t>
      </w:r>
      <w:r w:rsidR="00576B8E">
        <w:rPr>
          <w:rFonts w:ascii="Arial" w:hAnsi="Arial" w:cs="Arial"/>
        </w:rPr>
        <w:t>l</w:t>
      </w:r>
      <w:r w:rsidR="00501D77">
        <w:rPr>
          <w:rFonts w:ascii="Arial" w:hAnsi="Arial" w:cs="Arial"/>
        </w:rPr>
        <w:t xml:space="preserve">a demanda interna </w:t>
      </w:r>
      <w:r w:rsidR="00576B8E">
        <w:rPr>
          <w:rFonts w:ascii="Arial" w:hAnsi="Arial" w:cs="Arial"/>
        </w:rPr>
        <w:t xml:space="preserve">es </w:t>
      </w:r>
      <w:r w:rsidR="00501D77">
        <w:rPr>
          <w:rFonts w:ascii="Arial" w:hAnsi="Arial" w:cs="Arial"/>
        </w:rPr>
        <w:t>insuficiente</w:t>
      </w:r>
      <w:r w:rsidR="00576B8E">
        <w:rPr>
          <w:rFonts w:ascii="Arial" w:hAnsi="Arial" w:cs="Arial"/>
        </w:rPr>
        <w:t xml:space="preserve"> para mantener el pleno empleo</w:t>
      </w:r>
      <w:r w:rsidR="00951687">
        <w:rPr>
          <w:rFonts w:ascii="Arial" w:hAnsi="Arial" w:cs="Arial"/>
        </w:rPr>
        <w:t>; y a</w:t>
      </w:r>
      <w:r w:rsidR="00501D77">
        <w:rPr>
          <w:rFonts w:ascii="Arial" w:hAnsi="Arial" w:cs="Arial"/>
        </w:rPr>
        <w:t xml:space="preserve">lerta </w:t>
      </w:r>
      <w:r w:rsidR="00951687">
        <w:rPr>
          <w:rFonts w:ascii="Arial" w:hAnsi="Arial" w:cs="Arial"/>
        </w:rPr>
        <w:t xml:space="preserve">de </w:t>
      </w:r>
      <w:r w:rsidR="00501D77">
        <w:rPr>
          <w:rFonts w:ascii="Arial" w:hAnsi="Arial" w:cs="Arial"/>
        </w:rPr>
        <w:t xml:space="preserve">que esta estrategia es cada vez menos sostenible en un mundo más fragmentado. </w:t>
      </w:r>
    </w:p>
    <w:p w14:paraId="61C60111" w14:textId="6675FECF" w:rsidR="00501D77" w:rsidRDefault="00876D50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5230A9">
        <w:rPr>
          <w:rFonts w:ascii="Arial" w:hAnsi="Arial" w:cs="Arial"/>
        </w:rPr>
        <w:t xml:space="preserve">En cuanto a la política, </w:t>
      </w:r>
      <w:r w:rsidR="003D4CEA">
        <w:rPr>
          <w:rFonts w:ascii="Arial" w:hAnsi="Arial" w:cs="Arial"/>
        </w:rPr>
        <w:t>Santiago</w:t>
      </w:r>
      <w:r w:rsidRPr="005230A9">
        <w:rPr>
          <w:rFonts w:ascii="Arial" w:hAnsi="Arial" w:cs="Arial"/>
        </w:rPr>
        <w:t xml:space="preserve"> ha destacado que “</w:t>
      </w:r>
      <w:r w:rsidR="00501D77">
        <w:rPr>
          <w:rFonts w:ascii="Arial" w:hAnsi="Arial" w:cs="Arial"/>
        </w:rPr>
        <w:t xml:space="preserve">el entorno internacional está caracterizado por la fragmentación, el refuerzo de alianzas regionales y el </w:t>
      </w:r>
      <w:r w:rsidR="00DE2A54">
        <w:rPr>
          <w:rFonts w:ascii="Arial" w:hAnsi="Arial" w:cs="Arial"/>
        </w:rPr>
        <w:t xml:space="preserve">resurgir de la </w:t>
      </w:r>
      <w:r w:rsidR="00501D77">
        <w:rPr>
          <w:rFonts w:ascii="Arial" w:hAnsi="Arial" w:cs="Arial"/>
        </w:rPr>
        <w:t>lógica de esfera</w:t>
      </w:r>
      <w:r w:rsidR="00576B8E">
        <w:rPr>
          <w:rFonts w:ascii="Arial" w:hAnsi="Arial" w:cs="Arial"/>
        </w:rPr>
        <w:t>s</w:t>
      </w:r>
      <w:r w:rsidR="00501D77">
        <w:rPr>
          <w:rFonts w:ascii="Arial" w:hAnsi="Arial" w:cs="Arial"/>
        </w:rPr>
        <w:t xml:space="preserve"> de influencia</w:t>
      </w:r>
      <w:r w:rsidR="00576B8E">
        <w:rPr>
          <w:rFonts w:ascii="Arial" w:hAnsi="Arial" w:cs="Arial"/>
        </w:rPr>
        <w:t xml:space="preserve"> de siglos anteriores</w:t>
      </w:r>
      <w:r w:rsidR="00501D77">
        <w:rPr>
          <w:rFonts w:ascii="Arial" w:hAnsi="Arial" w:cs="Arial"/>
        </w:rPr>
        <w:t>”</w:t>
      </w:r>
      <w:r w:rsidR="00DE2A54">
        <w:rPr>
          <w:rFonts w:ascii="Arial" w:hAnsi="Arial" w:cs="Arial"/>
        </w:rPr>
        <w:t>.</w:t>
      </w:r>
      <w:r w:rsidR="00501D77">
        <w:rPr>
          <w:rFonts w:ascii="Arial" w:hAnsi="Arial" w:cs="Arial"/>
        </w:rPr>
        <w:t xml:space="preserve"> En este escenario, según el informe, Europa</w:t>
      </w:r>
      <w:r w:rsidR="00DE2A54">
        <w:rPr>
          <w:rFonts w:ascii="Arial" w:hAnsi="Arial" w:cs="Arial"/>
        </w:rPr>
        <w:t>, sin una dirección política clara,</w:t>
      </w:r>
      <w:r w:rsidR="00501D77">
        <w:rPr>
          <w:rFonts w:ascii="Arial" w:hAnsi="Arial" w:cs="Arial"/>
        </w:rPr>
        <w:t xml:space="preserve"> aparece como la región con mayor riesgo de fractura interna. </w:t>
      </w:r>
    </w:p>
    <w:p w14:paraId="6372890C" w14:textId="18EFF748" w:rsidR="00DE2A54" w:rsidRPr="00DE2A54" w:rsidRDefault="00876D50" w:rsidP="00DE2A5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5230A9">
        <w:rPr>
          <w:rFonts w:ascii="Arial" w:hAnsi="Arial" w:cs="Arial"/>
        </w:rPr>
        <w:t xml:space="preserve">Respecto a las tendencias de inversión, </w:t>
      </w:r>
      <w:r w:rsidR="00951687">
        <w:rPr>
          <w:rFonts w:ascii="Arial" w:hAnsi="Arial" w:cs="Arial"/>
        </w:rPr>
        <w:t xml:space="preserve">el informe destaca que “2026 será un año </w:t>
      </w:r>
      <w:r w:rsidR="00CA2C34">
        <w:rPr>
          <w:rFonts w:ascii="Arial" w:hAnsi="Arial" w:cs="Arial"/>
        </w:rPr>
        <w:t>atípico,</w:t>
      </w:r>
      <w:r w:rsidR="00951687">
        <w:rPr>
          <w:rFonts w:ascii="Arial" w:hAnsi="Arial" w:cs="Arial"/>
        </w:rPr>
        <w:t xml:space="preserve"> pero</w:t>
      </w:r>
      <w:r w:rsidR="00576B8E">
        <w:rPr>
          <w:rFonts w:ascii="Arial" w:hAnsi="Arial" w:cs="Arial"/>
        </w:rPr>
        <w:t xml:space="preserve"> no tanto”</w:t>
      </w:r>
      <w:r w:rsidR="001D53D3">
        <w:rPr>
          <w:rFonts w:ascii="Arial" w:hAnsi="Arial" w:cs="Arial"/>
        </w:rPr>
        <w:t xml:space="preserve"> </w:t>
      </w:r>
      <w:r w:rsidR="00DE2A54">
        <w:rPr>
          <w:rFonts w:ascii="Arial" w:hAnsi="Arial" w:cs="Arial"/>
        </w:rPr>
        <w:t>y</w:t>
      </w:r>
      <w:r w:rsidR="00DE2A54" w:rsidRPr="00DE2A54">
        <w:rPr>
          <w:rFonts w:ascii="Arial" w:hAnsi="Arial" w:cs="Arial"/>
        </w:rPr>
        <w:t xml:space="preserve"> concluye que, si bien las burbujas pueden estar localizadas en ámbitos específicos</w:t>
      </w:r>
      <w:r w:rsidR="00F60006">
        <w:rPr>
          <w:rFonts w:ascii="Arial" w:hAnsi="Arial" w:cs="Arial"/>
        </w:rPr>
        <w:t xml:space="preserve"> de la Inteligencia Artificial</w:t>
      </w:r>
      <w:r w:rsidR="00DE2A54" w:rsidRPr="00DE2A54">
        <w:rPr>
          <w:rFonts w:ascii="Arial" w:hAnsi="Arial" w:cs="Arial"/>
        </w:rPr>
        <w:t xml:space="preserve">, ofrecen oportunidades significativas para quienes sepan diversificar y actuar con prudencia. </w:t>
      </w:r>
    </w:p>
    <w:p w14:paraId="01FBAC32" w14:textId="20FD16EA" w:rsidR="003E4D5A" w:rsidRDefault="00DE2A54" w:rsidP="003E4D5A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DE2A54">
        <w:rPr>
          <w:rFonts w:ascii="Arial" w:hAnsi="Arial" w:cs="Arial"/>
        </w:rPr>
        <w:t xml:space="preserve">Estas perspectivas subrayan que, en un mundo en constante cambio, la preparación y adaptación son esenciales para capitalizar los cambios disruptivos que se anticipan para el 2026. </w:t>
      </w:r>
      <w:r>
        <w:rPr>
          <w:rFonts w:ascii="Arial" w:hAnsi="Arial" w:cs="Arial"/>
        </w:rPr>
        <w:t xml:space="preserve">Pero como concluye </w:t>
      </w:r>
      <w:r w:rsidR="003D4CEA">
        <w:rPr>
          <w:rFonts w:ascii="Arial" w:hAnsi="Arial" w:cs="Arial"/>
        </w:rPr>
        <w:t>Santiago</w:t>
      </w:r>
      <w:r>
        <w:rPr>
          <w:rFonts w:ascii="Arial" w:hAnsi="Arial" w:cs="Arial"/>
        </w:rPr>
        <w:t xml:space="preserve">, ante estas dinámicas globales, </w:t>
      </w:r>
      <w:r w:rsidR="001D53D3">
        <w:rPr>
          <w:rFonts w:ascii="Arial" w:hAnsi="Arial" w:cs="Arial"/>
        </w:rPr>
        <w:t>“l</w:t>
      </w:r>
      <w:r w:rsidR="00501D77">
        <w:rPr>
          <w:rFonts w:ascii="Arial" w:hAnsi="Arial" w:cs="Arial"/>
        </w:rPr>
        <w:t xml:space="preserve">a prudencia </w:t>
      </w:r>
      <w:r w:rsidR="001D53D3">
        <w:rPr>
          <w:rFonts w:ascii="Arial" w:hAnsi="Arial" w:cs="Arial"/>
        </w:rPr>
        <w:t>no está reñida</w:t>
      </w:r>
      <w:r w:rsidR="00501D77">
        <w:rPr>
          <w:rFonts w:ascii="Arial" w:hAnsi="Arial" w:cs="Arial"/>
        </w:rPr>
        <w:t xml:space="preserve"> con la rentabili</w:t>
      </w:r>
      <w:r>
        <w:rPr>
          <w:rFonts w:ascii="Arial" w:hAnsi="Arial" w:cs="Arial"/>
        </w:rPr>
        <w:t>d</w:t>
      </w:r>
      <w:r w:rsidR="00501D77">
        <w:rPr>
          <w:rFonts w:ascii="Arial" w:hAnsi="Arial" w:cs="Arial"/>
        </w:rPr>
        <w:t>ad</w:t>
      </w:r>
      <w:r w:rsidR="001D53D3">
        <w:rPr>
          <w:rFonts w:ascii="Arial" w:hAnsi="Arial" w:cs="Arial"/>
        </w:rPr>
        <w:t>”.</w:t>
      </w:r>
      <w:r w:rsidR="00501D77">
        <w:rPr>
          <w:rFonts w:ascii="Arial" w:hAnsi="Arial" w:cs="Arial"/>
        </w:rPr>
        <w:t xml:space="preserve"> </w:t>
      </w:r>
    </w:p>
    <w:p w14:paraId="2666F64E" w14:textId="2DE33F2F" w:rsidR="003E4D5A" w:rsidRDefault="003E4D5A" w:rsidP="003E4D5A">
      <w:pPr>
        <w:spacing w:line="276" w:lineRule="auto"/>
        <w:ind w:left="-426" w:right="-568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CaixaBank Wealth Management</w:t>
      </w:r>
      <w:r>
        <w:rPr>
          <w:rStyle w:val="eop"/>
          <w:rFonts w:ascii="Arial" w:hAnsi="Arial" w:cs="Arial"/>
        </w:rPr>
        <w:t> </w:t>
      </w:r>
    </w:p>
    <w:p w14:paraId="370990E6" w14:textId="77777777" w:rsidR="003E4D5A" w:rsidRDefault="003E4D5A" w:rsidP="003E4D5A">
      <w:pPr>
        <w:spacing w:line="276" w:lineRule="auto"/>
        <w:ind w:left="-426" w:right="-568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El modelo de banca privada de CaixaBank está formado por un equipo de más de 1.100 gestores especializados acreditados, con una experiencia media de 15 años, y con 75 centros exclusivos de banca privada y 11 centros exclusivos Global Wealth, que le permiten asegurar que los clientes siempre reciben un trato cercano. </w:t>
      </w:r>
      <w:r>
        <w:rPr>
          <w:rStyle w:val="eop"/>
          <w:rFonts w:ascii="Arial" w:hAnsi="Arial" w:cs="Arial"/>
        </w:rPr>
        <w:t> </w:t>
      </w:r>
    </w:p>
    <w:p w14:paraId="5D415192" w14:textId="77777777" w:rsidR="003E4D5A" w:rsidRDefault="003E4D5A" w:rsidP="003E4D5A">
      <w:pPr>
        <w:spacing w:line="276" w:lineRule="auto"/>
        <w:ind w:left="-426" w:right="-568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En 2025, CaixaBank fue elegida por tercer año consecutivo como la ‘Mejor Entidad de Banca Privada en España’ (</w:t>
      </w:r>
      <w:r>
        <w:rPr>
          <w:rStyle w:val="normaltextrun"/>
          <w:rFonts w:ascii="Arial" w:hAnsi="Arial" w:cs="Arial"/>
          <w:i/>
          <w:iCs/>
        </w:rPr>
        <w:t>Best Private Bank in Spain</w:t>
      </w:r>
      <w:r>
        <w:rPr>
          <w:rStyle w:val="normaltextrun"/>
          <w:rFonts w:ascii="Arial" w:hAnsi="Arial" w:cs="Arial"/>
        </w:rPr>
        <w:t>) en los </w:t>
      </w:r>
      <w:r>
        <w:rPr>
          <w:rStyle w:val="normaltextrun"/>
          <w:rFonts w:ascii="Arial" w:hAnsi="Arial" w:cs="Arial"/>
          <w:i/>
          <w:iCs/>
        </w:rPr>
        <w:t>Global Private Banking Awards</w:t>
      </w:r>
      <w:r>
        <w:rPr>
          <w:rStyle w:val="normaltextrun"/>
          <w:rFonts w:ascii="Arial" w:hAnsi="Arial" w:cs="Arial"/>
        </w:rPr>
        <w:t> de la revista británica </w:t>
      </w:r>
      <w:r>
        <w:rPr>
          <w:rStyle w:val="normaltextrun"/>
          <w:rFonts w:ascii="Arial" w:hAnsi="Arial" w:cs="Arial"/>
          <w:i/>
          <w:iCs/>
        </w:rPr>
        <w:t>Euromoney</w:t>
      </w:r>
      <w:r>
        <w:rPr>
          <w:rStyle w:val="normaltextrun"/>
          <w:rFonts w:ascii="Arial" w:hAnsi="Arial" w:cs="Arial"/>
        </w:rPr>
        <w:t>, que reconocen la excelencia y mejores prácticas de banca privada a nivel internacional. CaixaBank Wealth Management ha recibido el máximo galardón nacional de </w:t>
      </w:r>
      <w:r>
        <w:rPr>
          <w:rStyle w:val="normaltextrun"/>
          <w:rFonts w:ascii="Arial" w:hAnsi="Arial" w:cs="Arial"/>
          <w:i/>
          <w:iCs/>
        </w:rPr>
        <w:t>Euromoney </w:t>
      </w:r>
      <w:r>
        <w:rPr>
          <w:rStyle w:val="normaltextrun"/>
          <w:rFonts w:ascii="Arial" w:hAnsi="Arial" w:cs="Arial"/>
        </w:rPr>
        <w:t>en siete ocasiones en los últimos once años. </w:t>
      </w:r>
      <w:r>
        <w:rPr>
          <w:rStyle w:val="eop"/>
          <w:rFonts w:ascii="Arial" w:hAnsi="Arial" w:cs="Arial"/>
        </w:rPr>
        <w:t> </w:t>
      </w:r>
    </w:p>
    <w:p w14:paraId="01A8A312" w14:textId="34BD4D0A" w:rsidR="003E4D5A" w:rsidRPr="003E4D5A" w:rsidRDefault="003E4D5A" w:rsidP="003E4D5A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La propuesta de valor de CaixaBank Wealth Management ofrece distintos modelos de servicio para adaptarse a las necesidades y preferencias de cada cliente, desde el que demanda un servicio de asesoramiento global ya sea independiente como no independiente, hasta el que opera a iniciativa propia en la gestión de su patrimonio a través de una plataforma con capacidades globales de inversión en valores, fondos, seguros de ahorro y otros productos de gestión.</w:t>
      </w:r>
      <w:r>
        <w:rPr>
          <w:rStyle w:val="eop"/>
          <w:rFonts w:ascii="Arial" w:hAnsi="Arial" w:cs="Arial"/>
        </w:rPr>
        <w:t> </w:t>
      </w:r>
    </w:p>
    <w:p w14:paraId="4C420B33" w14:textId="77777777" w:rsidR="003E4D5A" w:rsidRDefault="003E4D5A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</w:p>
    <w:p w14:paraId="2C194E2B" w14:textId="5F4C7508" w:rsidR="00722B9E" w:rsidRDefault="00722B9E" w:rsidP="00722B9E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sectPr w:rsidR="00722B9E" w:rsidSect="00A453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99C9" w14:textId="77777777" w:rsidR="00A57E31" w:rsidRDefault="00A57E31" w:rsidP="001E4FCE">
      <w:pPr>
        <w:spacing w:after="0" w:line="240" w:lineRule="auto"/>
      </w:pPr>
      <w:r>
        <w:separator/>
      </w:r>
    </w:p>
  </w:endnote>
  <w:endnote w:type="continuationSeparator" w:id="0">
    <w:p w14:paraId="6FD9F136" w14:textId="77777777" w:rsidR="00A57E31" w:rsidRDefault="00A57E31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897" w14:textId="77777777" w:rsidR="00524B9E" w:rsidRDefault="00524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67EC4CBB" w:rsidR="008F0D64" w:rsidRPr="00B60236" w:rsidRDefault="00524B9E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6DB8FB8" wp14:editId="22D63774">
          <wp:simplePos x="0" y="0"/>
          <wp:positionH relativeFrom="column">
            <wp:posOffset>894715</wp:posOffset>
          </wp:positionH>
          <wp:positionV relativeFrom="paragraph">
            <wp:posOffset>-481330</wp:posOffset>
          </wp:positionV>
          <wp:extent cx="5320030" cy="857207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3913D" wp14:editId="2B58F838">
              <wp:simplePos x="0" y="0"/>
              <wp:positionH relativeFrom="page">
                <wp:posOffset>250825</wp:posOffset>
              </wp:positionH>
              <wp:positionV relativeFrom="paragraph">
                <wp:posOffset>-292100</wp:posOffset>
              </wp:positionV>
              <wp:extent cx="17716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Default="005B3070" w:rsidP="001D4F30">
                          <w:pPr>
                            <w:spacing w:after="0" w:line="240" w:lineRule="auto"/>
                            <w:rPr>
                              <w:rStyle w:val="Hipervnculo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574FF64D" w14:textId="2D61DB92" w:rsidR="00305BD3" w:rsidRPr="001D4F30" w:rsidRDefault="00305BD3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305BD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https://www.caixabank.com/es/actualidad.html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FE3913D">
              <v:stroke joinstyle="miter"/>
              <v:path gradientshapeok="t" o:connecttype="rect"/>
            </v:shapetype>
            <v:shape id="Cuadro de texto 2" style="position:absolute;margin-left:19.75pt;margin-top:-23pt;width:13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">
              <v:textbox style="mso-fit-shape-to-text:t">
                <w:txbxContent>
                  <w:p w:rsidRPr="001D4F30" w:rsidR="001D4F30" w:rsidP="001D4F30" w:rsidRDefault="001D4F30" w14:paraId="2948DCE5" w14:textId="588597C6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:rsidR="001D4F30" w:rsidP="001D4F30" w:rsidRDefault="00000000" w14:paraId="44E21206" w14:textId="4AAAA049">
                    <w:pPr>
                      <w:spacing w:after="0" w:line="240" w:lineRule="auto"/>
                      <w:rPr>
                        <w:rStyle w:val="Hipervnculo"/>
                        <w:rFonts w:ascii="Arial" w:hAnsi="Arial" w:cs="Arial"/>
                        <w:sz w:val="12"/>
                        <w:szCs w:val="12"/>
                      </w:rPr>
                    </w:pPr>
                    <w:hyperlink w:history="1" r:id="rId4">
                      <w:r w:rsidRPr="001D4F30" w:rsid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:rsidRPr="001D4F30" w:rsidR="00305BD3" w:rsidP="001D4F30" w:rsidRDefault="00305BD3" w14:paraId="574FF64D" w14:textId="2D61DB92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305BD3">
                      <w:rPr>
                        <w:rFonts w:ascii="Arial" w:hAnsi="Arial" w:cs="Arial"/>
                        <w:sz w:val="12"/>
                        <w:szCs w:val="12"/>
                      </w:rPr>
                      <w:t>https://www.caixabank.com/es/actualidad.html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05BD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2B813C6B">
              <wp:simplePos x="0" y="0"/>
              <wp:positionH relativeFrom="page">
                <wp:posOffset>361950</wp:posOffset>
              </wp:positionH>
              <wp:positionV relativeFrom="paragraph">
                <wp:posOffset>-567690</wp:posOffset>
              </wp:positionV>
              <wp:extent cx="6667500" cy="28575"/>
              <wp:effectExtent l="0" t="0" r="19050" b="28575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>
            <v:line id="Conector recto 12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color="black [3200]" strokeweight=".5pt" from="28.5pt,-44.7pt" to="553.5pt,-42.45pt" w14:anchorId="530D3F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4864" w14:textId="77777777" w:rsidR="00524B9E" w:rsidRDefault="00524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D093" w14:textId="77777777" w:rsidR="00A57E31" w:rsidRDefault="00A57E31" w:rsidP="001E4FCE">
      <w:pPr>
        <w:spacing w:after="0" w:line="240" w:lineRule="auto"/>
      </w:pPr>
      <w:r>
        <w:separator/>
      </w:r>
    </w:p>
  </w:footnote>
  <w:footnote w:type="continuationSeparator" w:id="0">
    <w:p w14:paraId="6BEC4EBD" w14:textId="77777777" w:rsidR="00A57E31" w:rsidRDefault="00A57E31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8DC0" w14:textId="77777777" w:rsidR="00524B9E" w:rsidRDefault="00524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79CF501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>
            <v:rect id="Rectángulo 1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bdedd" strokecolor="#dbdedd" strokeweight="1pt" w14:anchorId="7F29C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2198" w14:textId="77777777" w:rsidR="00524B9E" w:rsidRDefault="00524B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0063A"/>
    <w:multiLevelType w:val="multilevel"/>
    <w:tmpl w:val="290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C6A29"/>
    <w:multiLevelType w:val="multilevel"/>
    <w:tmpl w:val="E8D4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2"/>
  </w:num>
  <w:num w:numId="2" w16cid:durableId="821459834">
    <w:abstractNumId w:val="1"/>
  </w:num>
  <w:num w:numId="3" w16cid:durableId="115240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51CF6"/>
    <w:rsid w:val="0006627E"/>
    <w:rsid w:val="000906F9"/>
    <w:rsid w:val="000936E1"/>
    <w:rsid w:val="000D0614"/>
    <w:rsid w:val="000E073A"/>
    <w:rsid w:val="001131AA"/>
    <w:rsid w:val="00120E32"/>
    <w:rsid w:val="00135E5D"/>
    <w:rsid w:val="0014220F"/>
    <w:rsid w:val="00142273"/>
    <w:rsid w:val="00154307"/>
    <w:rsid w:val="0018584B"/>
    <w:rsid w:val="001909B7"/>
    <w:rsid w:val="001C0817"/>
    <w:rsid w:val="001C0D47"/>
    <w:rsid w:val="001C446C"/>
    <w:rsid w:val="001D4F30"/>
    <w:rsid w:val="001D53D3"/>
    <w:rsid w:val="001E4FCE"/>
    <w:rsid w:val="001F5497"/>
    <w:rsid w:val="00201234"/>
    <w:rsid w:val="00211689"/>
    <w:rsid w:val="0023081A"/>
    <w:rsid w:val="002346E4"/>
    <w:rsid w:val="0023518F"/>
    <w:rsid w:val="002413CF"/>
    <w:rsid w:val="00262F09"/>
    <w:rsid w:val="00271003"/>
    <w:rsid w:val="00271E55"/>
    <w:rsid w:val="002F01A1"/>
    <w:rsid w:val="00305BD3"/>
    <w:rsid w:val="003164B1"/>
    <w:rsid w:val="0032666D"/>
    <w:rsid w:val="003308DD"/>
    <w:rsid w:val="00330FC1"/>
    <w:rsid w:val="003C2503"/>
    <w:rsid w:val="003C2C20"/>
    <w:rsid w:val="003D4CEA"/>
    <w:rsid w:val="003D7C57"/>
    <w:rsid w:val="003E2EB8"/>
    <w:rsid w:val="003E4D5A"/>
    <w:rsid w:val="00413401"/>
    <w:rsid w:val="004707E2"/>
    <w:rsid w:val="00481FEA"/>
    <w:rsid w:val="00501D77"/>
    <w:rsid w:val="00513E03"/>
    <w:rsid w:val="00524B9E"/>
    <w:rsid w:val="00564F41"/>
    <w:rsid w:val="00565928"/>
    <w:rsid w:val="0057103F"/>
    <w:rsid w:val="00573B8C"/>
    <w:rsid w:val="00576B8E"/>
    <w:rsid w:val="005800DB"/>
    <w:rsid w:val="005B3070"/>
    <w:rsid w:val="005B3D52"/>
    <w:rsid w:val="005F05DC"/>
    <w:rsid w:val="005F6FD3"/>
    <w:rsid w:val="00601423"/>
    <w:rsid w:val="00602C53"/>
    <w:rsid w:val="00614DF4"/>
    <w:rsid w:val="006272D7"/>
    <w:rsid w:val="0064248B"/>
    <w:rsid w:val="00672CE4"/>
    <w:rsid w:val="006A2AD3"/>
    <w:rsid w:val="006B5E6F"/>
    <w:rsid w:val="006C45A5"/>
    <w:rsid w:val="006E7D94"/>
    <w:rsid w:val="006F01AB"/>
    <w:rsid w:val="006F30F0"/>
    <w:rsid w:val="00716979"/>
    <w:rsid w:val="00722B9E"/>
    <w:rsid w:val="00737936"/>
    <w:rsid w:val="007C0877"/>
    <w:rsid w:val="00800E5A"/>
    <w:rsid w:val="008134C5"/>
    <w:rsid w:val="00851CB5"/>
    <w:rsid w:val="00856A41"/>
    <w:rsid w:val="00876D50"/>
    <w:rsid w:val="008A757D"/>
    <w:rsid w:val="008D4A22"/>
    <w:rsid w:val="008F0D64"/>
    <w:rsid w:val="00951687"/>
    <w:rsid w:val="00973980"/>
    <w:rsid w:val="009D0564"/>
    <w:rsid w:val="00A06DF4"/>
    <w:rsid w:val="00A35505"/>
    <w:rsid w:val="00A453ED"/>
    <w:rsid w:val="00A57E31"/>
    <w:rsid w:val="00AA5F8A"/>
    <w:rsid w:val="00B13F06"/>
    <w:rsid w:val="00B44235"/>
    <w:rsid w:val="00B60236"/>
    <w:rsid w:val="00B66055"/>
    <w:rsid w:val="00B738D4"/>
    <w:rsid w:val="00BC5966"/>
    <w:rsid w:val="00BC601B"/>
    <w:rsid w:val="00BF0B8A"/>
    <w:rsid w:val="00C010B8"/>
    <w:rsid w:val="00C06292"/>
    <w:rsid w:val="00C16C70"/>
    <w:rsid w:val="00C26057"/>
    <w:rsid w:val="00C81ADB"/>
    <w:rsid w:val="00CA2C34"/>
    <w:rsid w:val="00CA6C6B"/>
    <w:rsid w:val="00CC1975"/>
    <w:rsid w:val="00CD0BF4"/>
    <w:rsid w:val="00D040E1"/>
    <w:rsid w:val="00D10F1A"/>
    <w:rsid w:val="00D1170C"/>
    <w:rsid w:val="00D12F9D"/>
    <w:rsid w:val="00D46922"/>
    <w:rsid w:val="00D47360"/>
    <w:rsid w:val="00D72E51"/>
    <w:rsid w:val="00DA0828"/>
    <w:rsid w:val="00DB0385"/>
    <w:rsid w:val="00DD32DF"/>
    <w:rsid w:val="00DE2A54"/>
    <w:rsid w:val="00E05ABB"/>
    <w:rsid w:val="00E101FD"/>
    <w:rsid w:val="00E15DFF"/>
    <w:rsid w:val="00E17E92"/>
    <w:rsid w:val="00E6220D"/>
    <w:rsid w:val="00E71F24"/>
    <w:rsid w:val="00E95E9D"/>
    <w:rsid w:val="00EC4734"/>
    <w:rsid w:val="00EE5DEA"/>
    <w:rsid w:val="00F5329B"/>
    <w:rsid w:val="00F60006"/>
    <w:rsid w:val="00F63832"/>
    <w:rsid w:val="00F73FCC"/>
    <w:rsid w:val="00FA33E0"/>
    <w:rsid w:val="00FA4564"/>
    <w:rsid w:val="00FA716A"/>
    <w:rsid w:val="00FB0D97"/>
    <w:rsid w:val="00FC7D71"/>
    <w:rsid w:val="00FD5B6C"/>
    <w:rsid w:val="00FE2235"/>
    <w:rsid w:val="00FF41E2"/>
    <w:rsid w:val="4552ACFB"/>
    <w:rsid w:val="6821ED49"/>
    <w:rsid w:val="750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paragraph" w:styleId="Ttulo2">
    <w:name w:val="heading 2"/>
    <w:basedOn w:val="Normal"/>
    <w:link w:val="Ttulo2Car"/>
    <w:uiPriority w:val="9"/>
    <w:qFormat/>
    <w:rsid w:val="00722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B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22B9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722B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22B9E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B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3E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E4D5A"/>
  </w:style>
  <w:style w:type="character" w:customStyle="1" w:styleId="eop">
    <w:name w:val="eop"/>
    <w:basedOn w:val="Fuentedeprrafopredeter"/>
    <w:rsid w:val="003E4D5A"/>
  </w:style>
  <w:style w:type="paragraph" w:styleId="Revisin">
    <w:name w:val="Revision"/>
    <w:hidden/>
    <w:uiPriority w:val="99"/>
    <w:semiHidden/>
    <w:rsid w:val="00D10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prensa@caixaban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7B85F170DD54294977EE1858E8D1A" ma:contentTypeVersion="13" ma:contentTypeDescription="Crea un document nou" ma:contentTypeScope="" ma:versionID="f6f5c030f6568fcd3762440fe4d0b022">
  <xsd:schema xmlns:xsd="http://www.w3.org/2001/XMLSchema" xmlns:xs="http://www.w3.org/2001/XMLSchema" xmlns:p="http://schemas.microsoft.com/office/2006/metadata/properties" xmlns:ns2="c075b96e-71e8-4fc4-ad3d-6c62cbd10832" xmlns:ns3="402bf9d5-75eb-4430-89c4-bdc1fc07b2b2" targetNamespace="http://schemas.microsoft.com/office/2006/metadata/properties" ma:root="true" ma:fieldsID="943eadfb97f0a06af84d8c9dd165eab4" ns2:_="" ns3:_="">
    <xsd:import namespace="c075b96e-71e8-4fc4-ad3d-6c62cbd10832"/>
    <xsd:import namespace="402bf9d5-75eb-4430-89c4-bdc1fc07b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b96e-71e8-4fc4-ad3d-6c62cbd1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f9d5-75eb-4430-89c4-bdc1fc07b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6e34fd-c03b-427f-8120-473923dd91e6}" ma:internalName="TaxCatchAll" ma:showField="CatchAllData" ma:web="402bf9d5-75eb-4430-89c4-bdc1fc07b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b96e-71e8-4fc4-ad3d-6c62cbd10832">
      <Terms xmlns="http://schemas.microsoft.com/office/infopath/2007/PartnerControls"/>
    </lcf76f155ced4ddcb4097134ff3c332f>
    <TaxCatchAll xmlns="402bf9d5-75eb-4430-89c4-bdc1fc07b2b2" xsi:nil="true"/>
  </documentManagement>
</p:properties>
</file>

<file path=customXml/itemProps1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24704-0AA1-4EF1-9EED-FD73E28F9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b96e-71e8-4fc4-ad3d-6c62cbd10832"/>
    <ds:schemaRef ds:uri="402bf9d5-75eb-4430-89c4-bdc1fc07b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2F6C0-729C-4BFD-85D9-559F7CA55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673AC-8F96-47D5-9774-C0601D79F589}">
  <ds:schemaRefs>
    <ds:schemaRef ds:uri="http://schemas.microsoft.com/office/2006/metadata/properties"/>
    <ds:schemaRef ds:uri="http://schemas.microsoft.com/office/infopath/2007/PartnerControls"/>
    <ds:schemaRef ds:uri="c075b96e-71e8-4fc4-ad3d-6c62cbd10832"/>
    <ds:schemaRef ds:uri="402bf9d5-75eb-4430-89c4-bdc1fc07b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3</cp:revision>
  <dcterms:created xsi:type="dcterms:W3CDTF">2026-02-17T12:14:00Z</dcterms:created>
  <dcterms:modified xsi:type="dcterms:W3CDTF">2026-02-17T13:51:00Z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0x010100F247B85F170DD54294977EE1858E8D1A</vt:lpwstr>
  </property>
  <property fmtid="{D5CDD505-2E9C-101B-9397-08002B2CF9AE}" pid="10" name="Order">
    <vt:r8>691000</vt:r8>
  </property>
  <property fmtid="{D5CDD505-2E9C-101B-9397-08002B2CF9AE}" pid="11" name="MediaServiceImageTags">
    <vt:lpwstr/>
  </property>
  <property fmtid="{D5CDD505-2E9C-101B-9397-08002B2CF9AE}" pid="12" name="docLang">
    <vt:lpwstr>es</vt:lpwstr>
  </property>
</Properties>
</file>