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03127" w14:textId="54896992" w:rsidR="008F4D94" w:rsidRPr="00122B42" w:rsidRDefault="008F4D94" w:rsidP="008A15A9">
      <w:pPr>
        <w:spacing w:line="240" w:lineRule="auto"/>
        <w:ind w:left="-426" w:right="-568"/>
        <w:jc w:val="both"/>
        <w:rPr>
          <w:rFonts w:ascii="Arial" w:hAnsi="Arial" w:cs="Arial"/>
          <w:b/>
          <w:bCs/>
          <w:i/>
          <w:iCs/>
          <w:color w:val="009FEA"/>
          <w:sz w:val="36"/>
          <w:szCs w:val="36"/>
        </w:rPr>
      </w:pPr>
      <w:r w:rsidRPr="00122B42">
        <w:rPr>
          <w:rFonts w:ascii="Arial" w:hAnsi="Arial" w:cs="Arial"/>
          <w:b/>
          <w:bCs/>
          <w:i/>
          <w:iCs/>
          <w:color w:val="009FEA"/>
          <w:sz w:val="36"/>
          <w:szCs w:val="36"/>
        </w:rPr>
        <w:t>CaixaBank</w:t>
      </w:r>
      <w:r w:rsidR="002714C1" w:rsidRPr="00122B42">
        <w:rPr>
          <w:rFonts w:ascii="Arial" w:hAnsi="Arial" w:cs="Arial"/>
          <w:b/>
          <w:bCs/>
          <w:i/>
          <w:iCs/>
          <w:color w:val="009FEA"/>
          <w:sz w:val="36"/>
          <w:szCs w:val="36"/>
        </w:rPr>
        <w:t xml:space="preserve"> </w:t>
      </w:r>
      <w:r w:rsidR="00237656" w:rsidRPr="00237656">
        <w:rPr>
          <w:rFonts w:ascii="Arial" w:hAnsi="Arial" w:cs="Arial"/>
          <w:b/>
          <w:bCs/>
          <w:i/>
          <w:iCs/>
          <w:color w:val="009FEA"/>
          <w:sz w:val="36"/>
          <w:szCs w:val="36"/>
        </w:rPr>
        <w:t>y Hefame fortalecen su alianza para impulsar soluciones financieras y mejorar el servicio al sector farmacéutico</w:t>
      </w:r>
    </w:p>
    <w:p w14:paraId="6938C378" w14:textId="77777777" w:rsidR="008F4D94" w:rsidRPr="00CA625B" w:rsidRDefault="008F4D94" w:rsidP="008F4D94">
      <w:pPr>
        <w:pStyle w:val="Prrafobsico"/>
        <w:suppressAutoHyphens/>
        <w:spacing w:line="276" w:lineRule="auto"/>
        <w:jc w:val="both"/>
        <w:rPr>
          <w:rFonts w:ascii="Arial" w:hAnsi="Arial" w:cs="Arial"/>
          <w:b/>
          <w:i/>
          <w:iCs/>
          <w:sz w:val="28"/>
          <w:szCs w:val="28"/>
          <w:lang w:val="es-ES"/>
        </w:rPr>
      </w:pPr>
    </w:p>
    <w:p w14:paraId="7DA29047" w14:textId="00E891A4" w:rsidR="008F4D94" w:rsidRDefault="008F4D94" w:rsidP="002714C1">
      <w:pPr>
        <w:pStyle w:val="Prrafobsico"/>
        <w:suppressAutoHyphens/>
        <w:spacing w:line="276" w:lineRule="auto"/>
        <w:ind w:left="-426"/>
        <w:jc w:val="both"/>
        <w:textAlignment w:val="auto"/>
        <w:rPr>
          <w:rFonts w:ascii="Arial" w:hAnsi="Arial" w:cs="Arial"/>
          <w:b/>
          <w:i/>
          <w:iCs/>
          <w:lang w:val="es-ES"/>
        </w:rPr>
      </w:pPr>
      <w:r w:rsidRPr="008F4D94">
        <w:rPr>
          <w:rFonts w:ascii="Arial" w:hAnsi="Arial" w:cs="Arial"/>
          <w:b/>
          <w:i/>
          <w:iCs/>
          <w:lang w:val="es-ES"/>
        </w:rPr>
        <w:t xml:space="preserve">• </w:t>
      </w:r>
      <w:r w:rsidR="00122B42" w:rsidRPr="00122B42">
        <w:rPr>
          <w:rFonts w:ascii="Arial" w:hAnsi="Arial" w:cs="Arial"/>
          <w:b/>
          <w:i/>
          <w:iCs/>
          <w:lang w:val="es-ES"/>
        </w:rPr>
        <w:t>Hefame refuerza su propuesta de valor a los socios, acompañándolos en momentos clave de su actividad empresarial y facilitando su acceso a soluciones financieras adaptadas a sus necesidades</w:t>
      </w:r>
    </w:p>
    <w:p w14:paraId="4F684D7F" w14:textId="77777777" w:rsidR="002714C1" w:rsidRPr="00CA625B" w:rsidRDefault="002714C1" w:rsidP="002714C1">
      <w:pPr>
        <w:pStyle w:val="Prrafobsico"/>
        <w:suppressAutoHyphens/>
        <w:spacing w:line="276" w:lineRule="auto"/>
        <w:ind w:left="-426"/>
        <w:jc w:val="both"/>
        <w:textAlignment w:val="auto"/>
        <w:rPr>
          <w:rFonts w:ascii="Arial" w:hAnsi="Arial" w:cs="Arial"/>
          <w:b/>
          <w:i/>
          <w:iCs/>
          <w:sz w:val="32"/>
          <w:szCs w:val="32"/>
          <w:lang w:val="es-ES"/>
        </w:rPr>
      </w:pPr>
    </w:p>
    <w:p w14:paraId="2834AD7E" w14:textId="05CDCC2B" w:rsidR="00122B42" w:rsidRPr="00122B42" w:rsidRDefault="008F4D94" w:rsidP="00122B42">
      <w:pPr>
        <w:spacing w:after="0" w:line="276" w:lineRule="auto"/>
        <w:ind w:left="-426"/>
        <w:jc w:val="both"/>
        <w:rPr>
          <w:rFonts w:ascii="Arial" w:eastAsiaTheme="minorEastAsia" w:hAnsi="Arial" w:cs="Arial"/>
          <w:b/>
          <w:i/>
          <w:iCs/>
          <w:color w:val="000000"/>
          <w:sz w:val="24"/>
          <w:szCs w:val="24"/>
          <w:lang w:eastAsia="es-ES"/>
        </w:rPr>
      </w:pPr>
      <w:r w:rsidRPr="00CA625B">
        <w:rPr>
          <w:rFonts w:ascii="Arial" w:eastAsiaTheme="minorEastAsia" w:hAnsi="Arial" w:cs="Arial"/>
          <w:b/>
          <w:i/>
          <w:iCs/>
          <w:color w:val="000000"/>
          <w:sz w:val="24"/>
          <w:szCs w:val="24"/>
          <w:lang w:eastAsia="es-ES"/>
        </w:rPr>
        <w:t xml:space="preserve">• </w:t>
      </w:r>
      <w:r w:rsidR="00122B42">
        <w:rPr>
          <w:rFonts w:ascii="Arial" w:eastAsiaTheme="minorEastAsia" w:hAnsi="Arial" w:cs="Arial"/>
          <w:b/>
          <w:i/>
          <w:iCs/>
          <w:color w:val="000000"/>
          <w:sz w:val="24"/>
          <w:szCs w:val="24"/>
          <w:lang w:eastAsia="es-ES"/>
        </w:rPr>
        <w:t>Con</w:t>
      </w:r>
      <w:r w:rsidR="00122B42" w:rsidRPr="00122B42">
        <w:rPr>
          <w:rFonts w:ascii="Arial" w:eastAsiaTheme="minorEastAsia" w:hAnsi="Arial" w:cs="Arial"/>
          <w:b/>
          <w:i/>
          <w:iCs/>
          <w:color w:val="000000"/>
          <w:sz w:val="24"/>
          <w:szCs w:val="24"/>
          <w:lang w:eastAsia="es-ES"/>
        </w:rPr>
        <w:t xml:space="preserve"> </w:t>
      </w:r>
      <w:r w:rsidR="00122B42">
        <w:rPr>
          <w:rFonts w:ascii="Arial" w:eastAsiaTheme="minorEastAsia" w:hAnsi="Arial" w:cs="Arial"/>
          <w:b/>
          <w:i/>
          <w:iCs/>
          <w:color w:val="000000"/>
          <w:sz w:val="24"/>
          <w:szCs w:val="24"/>
          <w:lang w:eastAsia="es-ES"/>
        </w:rPr>
        <w:t xml:space="preserve">este </w:t>
      </w:r>
      <w:r w:rsidR="00122B42" w:rsidRPr="00122B42">
        <w:rPr>
          <w:rFonts w:ascii="Arial" w:eastAsiaTheme="minorEastAsia" w:hAnsi="Arial" w:cs="Arial"/>
          <w:b/>
          <w:i/>
          <w:iCs/>
          <w:color w:val="000000"/>
          <w:sz w:val="24"/>
          <w:szCs w:val="24"/>
          <w:lang w:eastAsia="es-ES"/>
        </w:rPr>
        <w:t xml:space="preserve">acuerdo, CaixaBank pone a disposición de los socios y clientes de Hefame una oferta específica de financiación que incluye, entre otras soluciones, </w:t>
      </w:r>
      <w:bookmarkStart w:id="0" w:name="_Hlk219888323"/>
      <w:r w:rsidR="00122B42" w:rsidRPr="00122B42">
        <w:rPr>
          <w:rFonts w:ascii="Arial" w:eastAsiaTheme="minorEastAsia" w:hAnsi="Arial" w:cs="Arial"/>
          <w:b/>
          <w:i/>
          <w:iCs/>
          <w:color w:val="000000"/>
          <w:sz w:val="24"/>
          <w:szCs w:val="24"/>
          <w:lang w:eastAsia="es-ES"/>
        </w:rPr>
        <w:t>préstamos para la adquisición de farmacia</w:t>
      </w:r>
      <w:r w:rsidR="00122B42">
        <w:rPr>
          <w:rFonts w:ascii="Arial" w:eastAsiaTheme="minorEastAsia" w:hAnsi="Arial" w:cs="Arial"/>
          <w:b/>
          <w:i/>
          <w:iCs/>
          <w:color w:val="000000"/>
          <w:sz w:val="24"/>
          <w:szCs w:val="24"/>
          <w:lang w:eastAsia="es-ES"/>
        </w:rPr>
        <w:t>s</w:t>
      </w:r>
      <w:r w:rsidR="00237656">
        <w:rPr>
          <w:rFonts w:ascii="Arial" w:eastAsiaTheme="minorEastAsia" w:hAnsi="Arial" w:cs="Arial"/>
          <w:b/>
          <w:i/>
          <w:iCs/>
          <w:color w:val="000000"/>
          <w:sz w:val="24"/>
          <w:szCs w:val="24"/>
          <w:lang w:eastAsia="es-ES"/>
        </w:rPr>
        <w:t xml:space="preserve"> en condiciones ventajosas</w:t>
      </w:r>
      <w:bookmarkEnd w:id="0"/>
    </w:p>
    <w:p w14:paraId="74A54904" w14:textId="77777777" w:rsidR="008F4D94" w:rsidRPr="00CA625B" w:rsidRDefault="008F4D94" w:rsidP="008F4D94">
      <w:pPr>
        <w:spacing w:after="0" w:line="276" w:lineRule="auto"/>
        <w:ind w:left="-426"/>
        <w:jc w:val="both"/>
        <w:rPr>
          <w:rFonts w:ascii="Arial" w:eastAsiaTheme="minorEastAsia" w:hAnsi="Arial" w:cs="Arial"/>
          <w:b/>
          <w:i/>
          <w:iCs/>
          <w:color w:val="000000"/>
          <w:sz w:val="32"/>
          <w:szCs w:val="32"/>
          <w:highlight w:val="yellow"/>
          <w:lang w:eastAsia="es-ES"/>
        </w:rPr>
      </w:pPr>
    </w:p>
    <w:p w14:paraId="62B18EF3" w14:textId="77003B96" w:rsidR="005459BA" w:rsidRDefault="008F4D94" w:rsidP="008F4D94">
      <w:pPr>
        <w:spacing w:after="0" w:line="276" w:lineRule="auto"/>
        <w:ind w:left="-426"/>
        <w:jc w:val="both"/>
        <w:rPr>
          <w:rFonts w:ascii="Arial" w:hAnsi="Arial" w:cs="Arial"/>
        </w:rPr>
      </w:pPr>
      <w:r w:rsidRPr="00CA625B">
        <w:rPr>
          <w:rFonts w:ascii="Arial" w:eastAsiaTheme="minorEastAsia" w:hAnsi="Arial" w:cs="Arial"/>
          <w:b/>
          <w:i/>
          <w:iCs/>
          <w:color w:val="000000"/>
          <w:sz w:val="24"/>
          <w:szCs w:val="24"/>
          <w:lang w:eastAsia="es-ES"/>
        </w:rPr>
        <w:t xml:space="preserve">• </w:t>
      </w:r>
      <w:r w:rsidR="00CA625B" w:rsidRPr="00CA625B">
        <w:rPr>
          <w:rFonts w:ascii="Arial" w:eastAsiaTheme="minorEastAsia" w:hAnsi="Arial" w:cs="Arial"/>
          <w:b/>
          <w:i/>
          <w:iCs/>
          <w:color w:val="000000"/>
          <w:sz w:val="24"/>
          <w:szCs w:val="24"/>
          <w:lang w:eastAsia="es-ES"/>
        </w:rPr>
        <w:t xml:space="preserve">El </w:t>
      </w:r>
      <w:r w:rsidR="00122B42" w:rsidRPr="00122B42">
        <w:rPr>
          <w:rFonts w:ascii="Arial" w:eastAsiaTheme="minorEastAsia" w:hAnsi="Arial" w:cs="Arial"/>
          <w:b/>
          <w:i/>
          <w:iCs/>
          <w:color w:val="000000"/>
          <w:sz w:val="24"/>
          <w:szCs w:val="24"/>
          <w:lang w:eastAsia="es-ES"/>
        </w:rPr>
        <w:t xml:space="preserve">convenio ha sido firmado por </w:t>
      </w:r>
      <w:r w:rsidR="00122B42">
        <w:rPr>
          <w:rFonts w:ascii="Arial" w:eastAsiaTheme="minorEastAsia" w:hAnsi="Arial" w:cs="Arial"/>
          <w:b/>
          <w:i/>
          <w:iCs/>
          <w:color w:val="000000"/>
          <w:sz w:val="24"/>
          <w:szCs w:val="24"/>
          <w:lang w:eastAsia="es-ES"/>
        </w:rPr>
        <w:t>la</w:t>
      </w:r>
      <w:r w:rsidR="00122B42" w:rsidRPr="00122B42">
        <w:rPr>
          <w:rFonts w:ascii="Arial" w:eastAsiaTheme="minorEastAsia" w:hAnsi="Arial" w:cs="Arial"/>
          <w:b/>
          <w:i/>
          <w:iCs/>
          <w:color w:val="000000"/>
          <w:sz w:val="24"/>
          <w:szCs w:val="24"/>
          <w:lang w:eastAsia="es-ES"/>
        </w:rPr>
        <w:t xml:space="preserve"> directora territorial de CaixaBank en la Comunidad Valenciana y Región de Murcia,</w:t>
      </w:r>
      <w:r w:rsidR="00122B42">
        <w:rPr>
          <w:rFonts w:ascii="Arial" w:eastAsiaTheme="minorEastAsia" w:hAnsi="Arial" w:cs="Arial"/>
          <w:b/>
          <w:i/>
          <w:iCs/>
          <w:color w:val="000000"/>
          <w:sz w:val="24"/>
          <w:szCs w:val="24"/>
          <w:lang w:eastAsia="es-ES"/>
        </w:rPr>
        <w:t xml:space="preserve"> Olga García Saz,</w:t>
      </w:r>
      <w:r w:rsidR="00122B42" w:rsidRPr="00122B42">
        <w:rPr>
          <w:rFonts w:ascii="Arial" w:eastAsiaTheme="minorEastAsia" w:hAnsi="Arial" w:cs="Arial"/>
          <w:b/>
          <w:i/>
          <w:iCs/>
          <w:color w:val="000000"/>
          <w:sz w:val="24"/>
          <w:szCs w:val="24"/>
          <w:lang w:eastAsia="es-ES"/>
        </w:rPr>
        <w:t xml:space="preserve"> y por </w:t>
      </w:r>
      <w:r w:rsidR="00122B42">
        <w:rPr>
          <w:rFonts w:ascii="Arial" w:eastAsiaTheme="minorEastAsia" w:hAnsi="Arial" w:cs="Arial"/>
          <w:b/>
          <w:i/>
          <w:iCs/>
          <w:color w:val="000000"/>
          <w:sz w:val="24"/>
          <w:szCs w:val="24"/>
          <w:lang w:eastAsia="es-ES"/>
        </w:rPr>
        <w:t>el</w:t>
      </w:r>
      <w:r w:rsidR="00122B42" w:rsidRPr="00122B42">
        <w:rPr>
          <w:rFonts w:ascii="Arial" w:eastAsiaTheme="minorEastAsia" w:hAnsi="Arial" w:cs="Arial"/>
          <w:b/>
          <w:i/>
          <w:iCs/>
          <w:color w:val="000000"/>
          <w:sz w:val="24"/>
          <w:szCs w:val="24"/>
          <w:lang w:eastAsia="es-ES"/>
        </w:rPr>
        <w:t xml:space="preserve"> presidente del Consejo Rector de Hefame</w:t>
      </w:r>
      <w:r w:rsidR="00122B42">
        <w:rPr>
          <w:rFonts w:ascii="Arial" w:eastAsiaTheme="minorEastAsia" w:hAnsi="Arial" w:cs="Arial"/>
          <w:b/>
          <w:i/>
          <w:iCs/>
          <w:color w:val="000000"/>
          <w:sz w:val="24"/>
          <w:szCs w:val="24"/>
          <w:lang w:eastAsia="es-ES"/>
        </w:rPr>
        <w:t>, Enrique Ayuso Hernández</w:t>
      </w:r>
    </w:p>
    <w:p w14:paraId="50C5E8CD" w14:textId="77777777" w:rsidR="005459BA" w:rsidRDefault="005459BA" w:rsidP="008F4D94">
      <w:pPr>
        <w:spacing w:after="0" w:line="276" w:lineRule="auto"/>
        <w:ind w:left="-426"/>
        <w:jc w:val="both"/>
        <w:rPr>
          <w:rFonts w:ascii="Arial" w:hAnsi="Arial" w:cs="Arial"/>
        </w:rPr>
      </w:pPr>
    </w:p>
    <w:p w14:paraId="7B76773A" w14:textId="77777777" w:rsidR="008F4D94" w:rsidRPr="00C010B8" w:rsidRDefault="008F4D94" w:rsidP="008F4D94">
      <w:pPr>
        <w:spacing w:after="0" w:line="276" w:lineRule="auto"/>
        <w:ind w:left="-426"/>
        <w:jc w:val="both"/>
        <w:rPr>
          <w:rFonts w:ascii="Arial" w:hAnsi="Arial" w:cs="Arial"/>
        </w:rPr>
      </w:pPr>
    </w:p>
    <w:p w14:paraId="5380E939" w14:textId="189F317A" w:rsidR="005459BA" w:rsidRDefault="008F40FF" w:rsidP="008F4D94">
      <w:pPr>
        <w:spacing w:line="240" w:lineRule="auto"/>
        <w:ind w:left="-426"/>
        <w:jc w:val="both"/>
        <w:rPr>
          <w:rFonts w:ascii="Arial" w:hAnsi="Arial" w:cs="Arial"/>
          <w:b/>
          <w:bCs/>
        </w:rPr>
      </w:pPr>
      <w:r w:rsidRPr="00DA4325">
        <w:rPr>
          <w:rFonts w:ascii="Arial" w:hAnsi="Arial" w:cs="Arial"/>
          <w:b/>
          <w:bCs/>
        </w:rPr>
        <w:t>Murcia</w:t>
      </w:r>
      <w:r w:rsidR="005459BA" w:rsidRPr="00DA4325">
        <w:rPr>
          <w:rFonts w:ascii="Arial" w:hAnsi="Arial" w:cs="Arial"/>
          <w:b/>
          <w:bCs/>
        </w:rPr>
        <w:t>,</w:t>
      </w:r>
      <w:r w:rsidR="005459BA">
        <w:rPr>
          <w:rFonts w:ascii="Arial" w:hAnsi="Arial" w:cs="Arial"/>
          <w:b/>
          <w:bCs/>
        </w:rPr>
        <w:t xml:space="preserve"> </w:t>
      </w:r>
      <w:r w:rsidR="00237656">
        <w:rPr>
          <w:rFonts w:ascii="Arial" w:hAnsi="Arial" w:cs="Arial"/>
          <w:b/>
          <w:bCs/>
        </w:rPr>
        <w:t>2</w:t>
      </w:r>
      <w:r w:rsidR="00DF0690">
        <w:rPr>
          <w:rFonts w:ascii="Arial" w:hAnsi="Arial" w:cs="Arial"/>
          <w:b/>
          <w:bCs/>
        </w:rPr>
        <w:t>7</w:t>
      </w:r>
      <w:r w:rsidR="005459BA">
        <w:rPr>
          <w:rFonts w:ascii="Arial" w:hAnsi="Arial" w:cs="Arial"/>
          <w:b/>
          <w:bCs/>
        </w:rPr>
        <w:t xml:space="preserve"> de </w:t>
      </w:r>
      <w:r w:rsidR="00CB3517">
        <w:rPr>
          <w:rFonts w:ascii="Arial" w:hAnsi="Arial" w:cs="Arial"/>
          <w:b/>
          <w:bCs/>
        </w:rPr>
        <w:t>enero</w:t>
      </w:r>
      <w:r w:rsidR="005459BA">
        <w:rPr>
          <w:rFonts w:ascii="Arial" w:hAnsi="Arial" w:cs="Arial"/>
          <w:b/>
          <w:bCs/>
        </w:rPr>
        <w:t xml:space="preserve"> de </w:t>
      </w:r>
      <w:r w:rsidR="008F4D94">
        <w:rPr>
          <w:rFonts w:ascii="Arial" w:hAnsi="Arial" w:cs="Arial"/>
          <w:b/>
          <w:bCs/>
        </w:rPr>
        <w:t>202</w:t>
      </w:r>
      <w:r w:rsidR="00CB3517">
        <w:rPr>
          <w:rFonts w:ascii="Arial" w:hAnsi="Arial" w:cs="Arial"/>
          <w:b/>
          <w:bCs/>
        </w:rPr>
        <w:t>6</w:t>
      </w:r>
    </w:p>
    <w:p w14:paraId="40919838" w14:textId="77777777" w:rsidR="0017053A" w:rsidRPr="002714C1" w:rsidRDefault="0017053A" w:rsidP="008F4D94">
      <w:pPr>
        <w:spacing w:line="240" w:lineRule="auto"/>
        <w:ind w:left="-426"/>
        <w:jc w:val="both"/>
        <w:rPr>
          <w:rFonts w:ascii="Arial" w:hAnsi="Arial" w:cs="Arial"/>
          <w:b/>
          <w:bCs/>
          <w:sz w:val="2"/>
          <w:szCs w:val="2"/>
        </w:rPr>
      </w:pPr>
    </w:p>
    <w:p w14:paraId="7F7536AE" w14:textId="00332AF4" w:rsidR="00CB3517" w:rsidRPr="00CB3517" w:rsidRDefault="00CB3517" w:rsidP="00CB3517">
      <w:pPr>
        <w:spacing w:line="276" w:lineRule="auto"/>
        <w:ind w:left="-426" w:right="-568"/>
        <w:jc w:val="both"/>
        <w:rPr>
          <w:rFonts w:ascii="Arial" w:eastAsiaTheme="minorEastAsia" w:hAnsi="Arial" w:cs="Arial"/>
          <w:color w:val="000000"/>
          <w:lang w:val="es-ES_tradnl" w:eastAsia="es-ES"/>
        </w:rPr>
      </w:pPr>
      <w:r w:rsidRPr="00CB3517">
        <w:rPr>
          <w:rFonts w:ascii="Arial" w:eastAsiaTheme="minorEastAsia" w:hAnsi="Arial" w:cs="Arial"/>
          <w:color w:val="000000"/>
          <w:lang w:val="es-ES_tradnl" w:eastAsia="es-ES"/>
        </w:rPr>
        <w:t>CaixaBank refuerza su apoyo al sector farmacéutico con la firma de un convenio de colaboración con Hefame para facilitar el acceso a financiación especializada a las oficinas de farmacia de su red de socios</w:t>
      </w:r>
      <w:r>
        <w:rPr>
          <w:rFonts w:ascii="Arial" w:eastAsiaTheme="minorEastAsia" w:hAnsi="Arial" w:cs="Arial"/>
          <w:color w:val="000000"/>
          <w:lang w:val="es-ES_tradnl" w:eastAsia="es-ES"/>
        </w:rPr>
        <w:t>.</w:t>
      </w:r>
    </w:p>
    <w:p w14:paraId="2D088A2F" w14:textId="77777777" w:rsidR="00CB3517" w:rsidRPr="00CB3517" w:rsidRDefault="00CB3517" w:rsidP="00CB3517">
      <w:pPr>
        <w:spacing w:line="276" w:lineRule="auto"/>
        <w:ind w:left="-426" w:right="-568"/>
        <w:jc w:val="both"/>
        <w:rPr>
          <w:rFonts w:ascii="Arial" w:eastAsiaTheme="minorEastAsia" w:hAnsi="Arial" w:cs="Arial"/>
          <w:color w:val="000000"/>
          <w:lang w:val="es-ES_tradnl" w:eastAsia="es-ES"/>
        </w:rPr>
      </w:pPr>
      <w:r w:rsidRPr="00CB3517">
        <w:rPr>
          <w:rFonts w:ascii="Arial" w:eastAsiaTheme="minorEastAsia" w:hAnsi="Arial" w:cs="Arial"/>
          <w:color w:val="000000"/>
          <w:lang w:val="es-ES_tradnl" w:eastAsia="es-ES"/>
        </w:rPr>
        <w:t>El acuerdo, suscrito en Murcia, establece un marco de colaboración entre CaixaBank y la cooperativa farmacéutica Hefame con el objetivo de impulsar el desarrollo y la continuidad del negocio farmacéutico, facilitando el acceso a recursos financieros en condiciones competitivas para la adquisición, modernización y crecimiento de las farmacias.</w:t>
      </w:r>
    </w:p>
    <w:p w14:paraId="3BA9E545" w14:textId="529B2C67" w:rsidR="00CB3517" w:rsidRDefault="00122B42" w:rsidP="00CB3517">
      <w:pPr>
        <w:spacing w:line="276" w:lineRule="auto"/>
        <w:ind w:left="-426" w:right="-568"/>
        <w:jc w:val="both"/>
        <w:rPr>
          <w:rFonts w:ascii="Arial" w:eastAsiaTheme="minorEastAsia" w:hAnsi="Arial" w:cs="Arial"/>
          <w:color w:val="000000"/>
          <w:lang w:val="es-ES_tradnl" w:eastAsia="es-ES"/>
        </w:rPr>
      </w:pPr>
      <w:r w:rsidRPr="00122B42">
        <w:rPr>
          <w:rFonts w:ascii="Arial" w:eastAsiaTheme="minorEastAsia" w:hAnsi="Arial" w:cs="Arial"/>
          <w:color w:val="000000"/>
          <w:lang w:val="es-ES_tradnl" w:eastAsia="es-ES"/>
        </w:rPr>
        <w:t>El convenio ha sido firmado por la directora territorial de CaixaBank en la Comunidad Valenciana y Región de Murcia, Olga García Saz, y por el presidente del Consejo Rector de Hefame, Enrique Ayuso Hernández</w:t>
      </w:r>
      <w:r w:rsidR="00CB3517" w:rsidRPr="00CB3517">
        <w:rPr>
          <w:rFonts w:ascii="Arial" w:eastAsiaTheme="minorEastAsia" w:hAnsi="Arial" w:cs="Arial"/>
          <w:color w:val="000000"/>
          <w:lang w:val="es-ES_tradnl" w:eastAsia="es-ES"/>
        </w:rPr>
        <w:t>. A través de esta alianza, ambas entidades ponen en valor su compromiso con un sector estratégico para la sociedad, como es el farmacéutico, clave para la atención sanitaria y el bienestar de la ciudadanía.</w:t>
      </w:r>
    </w:p>
    <w:p w14:paraId="3528346E" w14:textId="3439790C" w:rsidR="00565B85" w:rsidRDefault="00565B85" w:rsidP="00CB3517">
      <w:pPr>
        <w:spacing w:line="276" w:lineRule="auto"/>
        <w:ind w:left="-426" w:right="-568"/>
        <w:jc w:val="both"/>
        <w:rPr>
          <w:rFonts w:ascii="Arial" w:eastAsiaTheme="minorEastAsia" w:hAnsi="Arial" w:cs="Arial"/>
          <w:color w:val="000000"/>
          <w:lang w:val="es-ES_tradnl" w:eastAsia="es-ES"/>
        </w:rPr>
      </w:pPr>
      <w:r>
        <w:rPr>
          <w:rFonts w:ascii="Arial" w:eastAsiaTheme="minorEastAsia" w:hAnsi="Arial" w:cs="Arial"/>
          <w:color w:val="000000"/>
          <w:lang w:val="es-ES_tradnl" w:eastAsia="es-ES"/>
        </w:rPr>
        <w:t xml:space="preserve">Además, el acto de la firma ha </w:t>
      </w:r>
      <w:r w:rsidRPr="00565B85">
        <w:rPr>
          <w:rFonts w:ascii="Arial" w:eastAsiaTheme="minorEastAsia" w:hAnsi="Arial" w:cs="Arial"/>
          <w:color w:val="000000"/>
          <w:lang w:val="es-ES_tradnl" w:eastAsia="es-ES"/>
        </w:rPr>
        <w:t xml:space="preserve">contado con la presencia </w:t>
      </w:r>
      <w:r>
        <w:rPr>
          <w:rFonts w:ascii="Arial" w:eastAsiaTheme="minorEastAsia" w:hAnsi="Arial" w:cs="Arial"/>
          <w:color w:val="000000"/>
          <w:lang w:val="es-ES_tradnl" w:eastAsia="es-ES"/>
        </w:rPr>
        <w:t>del d</w:t>
      </w:r>
      <w:r w:rsidRPr="00565B85">
        <w:rPr>
          <w:rFonts w:ascii="Arial" w:eastAsiaTheme="minorEastAsia" w:hAnsi="Arial" w:cs="Arial"/>
          <w:color w:val="000000"/>
          <w:lang w:val="es-ES_tradnl" w:eastAsia="es-ES"/>
        </w:rPr>
        <w:t>irector Comercial de Negocios y máximo responsable del vertical Pharma en CaixaBan</w:t>
      </w:r>
      <w:r>
        <w:rPr>
          <w:rFonts w:ascii="Arial" w:eastAsiaTheme="minorEastAsia" w:hAnsi="Arial" w:cs="Arial"/>
          <w:color w:val="000000"/>
          <w:lang w:val="es-ES_tradnl" w:eastAsia="es-ES"/>
        </w:rPr>
        <w:t xml:space="preserve">k, </w:t>
      </w:r>
      <w:r w:rsidRPr="00565B85">
        <w:rPr>
          <w:rFonts w:ascii="Arial" w:eastAsiaTheme="minorEastAsia" w:hAnsi="Arial" w:cs="Arial"/>
          <w:color w:val="000000"/>
          <w:lang w:val="es-ES_tradnl" w:eastAsia="es-ES"/>
        </w:rPr>
        <w:t>de Antonio Ramón Rodríguez</w:t>
      </w:r>
      <w:r>
        <w:rPr>
          <w:rFonts w:ascii="Arial" w:eastAsiaTheme="minorEastAsia" w:hAnsi="Arial" w:cs="Arial"/>
          <w:color w:val="000000"/>
          <w:lang w:val="es-ES_tradnl" w:eastAsia="es-ES"/>
        </w:rPr>
        <w:t>.</w:t>
      </w:r>
    </w:p>
    <w:p w14:paraId="72450B5F" w14:textId="197B95A2" w:rsidR="00CB3517" w:rsidRDefault="00CB3517" w:rsidP="00CB3517">
      <w:pPr>
        <w:spacing w:line="276" w:lineRule="auto"/>
        <w:ind w:left="-426" w:right="-568"/>
        <w:jc w:val="both"/>
        <w:rPr>
          <w:rFonts w:ascii="Arial" w:eastAsiaTheme="minorEastAsia" w:hAnsi="Arial" w:cs="Arial"/>
          <w:color w:val="000000"/>
          <w:lang w:val="es-ES_tradnl" w:eastAsia="es-ES"/>
        </w:rPr>
      </w:pPr>
      <w:r w:rsidRPr="00CB3517">
        <w:rPr>
          <w:rFonts w:ascii="Arial" w:eastAsiaTheme="minorEastAsia" w:hAnsi="Arial" w:cs="Arial"/>
          <w:color w:val="000000"/>
          <w:lang w:val="es-ES_tradnl" w:eastAsia="es-ES"/>
        </w:rPr>
        <w:lastRenderedPageBreak/>
        <w:t xml:space="preserve">En virtud del acuerdo, CaixaBank pone a disposición de los socios y clientes de Hefame una oferta específica de financiación que incluye, entre otras soluciones, </w:t>
      </w:r>
      <w:r w:rsidR="00237656" w:rsidRPr="00237656">
        <w:rPr>
          <w:rFonts w:ascii="Arial" w:eastAsiaTheme="minorEastAsia" w:hAnsi="Arial" w:cs="Arial"/>
          <w:color w:val="000000"/>
          <w:lang w:val="es-ES_tradnl" w:eastAsia="es-ES"/>
        </w:rPr>
        <w:t>préstamos para la adquisición de farmacias en condiciones ventajosas</w:t>
      </w:r>
      <w:r w:rsidRPr="00CB3517">
        <w:rPr>
          <w:rFonts w:ascii="Arial" w:eastAsiaTheme="minorEastAsia" w:hAnsi="Arial" w:cs="Arial"/>
          <w:color w:val="000000"/>
          <w:lang w:val="es-ES_tradnl" w:eastAsia="es-ES"/>
        </w:rPr>
        <w:t xml:space="preserve">, con plazos de hasta 20 años y financiación de hasta el 75% del importe de la operación, porcentaje que puede ampliarse hasta el 90% del valor de la compraventa gracias al afianzamiento solidario de Hefame en determinados supuestos. </w:t>
      </w:r>
    </w:p>
    <w:p w14:paraId="7FCD6ABE" w14:textId="4039537F" w:rsidR="00CB3517" w:rsidRPr="00CB3517" w:rsidRDefault="00CB3517" w:rsidP="00CB3517">
      <w:pPr>
        <w:spacing w:line="276" w:lineRule="auto"/>
        <w:ind w:left="-426" w:right="-568"/>
        <w:jc w:val="both"/>
        <w:rPr>
          <w:rFonts w:ascii="Arial" w:eastAsiaTheme="minorEastAsia" w:hAnsi="Arial" w:cs="Arial"/>
          <w:color w:val="000000"/>
          <w:lang w:val="es-ES_tradnl" w:eastAsia="es-ES"/>
        </w:rPr>
      </w:pPr>
      <w:r w:rsidRPr="00CB3517">
        <w:rPr>
          <w:rFonts w:ascii="Arial" w:eastAsiaTheme="minorEastAsia" w:hAnsi="Arial" w:cs="Arial"/>
          <w:color w:val="000000"/>
          <w:lang w:val="es-ES_tradnl" w:eastAsia="es-ES"/>
        </w:rPr>
        <w:t>Asimismo, el convenio contempla préstamos personales para reformas, modernización, expansión y puesta en marcha, con financiación de hasta el 100% del importe solicitado y tipos de interés fijos, cuyo coste financiero podrá ser asumido total o parcialmente por Hefame en función del grado de vinculación del asociado.</w:t>
      </w:r>
    </w:p>
    <w:p w14:paraId="068503B2" w14:textId="77777777" w:rsidR="00CB3517" w:rsidRDefault="00CB3517" w:rsidP="00CB3517">
      <w:pPr>
        <w:spacing w:line="276" w:lineRule="auto"/>
        <w:ind w:left="-426" w:right="-568"/>
        <w:jc w:val="both"/>
        <w:rPr>
          <w:rFonts w:ascii="Arial" w:eastAsiaTheme="minorEastAsia" w:hAnsi="Arial" w:cs="Arial"/>
          <w:color w:val="000000"/>
          <w:lang w:val="es-ES_tradnl" w:eastAsia="es-ES"/>
        </w:rPr>
      </w:pPr>
      <w:r w:rsidRPr="00CB3517">
        <w:rPr>
          <w:rFonts w:ascii="Arial" w:eastAsiaTheme="minorEastAsia" w:hAnsi="Arial" w:cs="Arial"/>
          <w:color w:val="000000"/>
          <w:lang w:val="es-ES_tradnl" w:eastAsia="es-ES"/>
        </w:rPr>
        <w:t>La colaboración también prevé la difusión conjunta del acuerdo entre los socios de Hefame y la red comercial de CaixaBank, así como el desarrollo de acciones informativas y divulgativas que acerquen estas soluciones financieras al colectivo farmacéutico. En todos los casos, la concesión de las operaciones estará sujeta a los criterios habituales de análisis y gestión de riesgos de CaixaBank.</w:t>
      </w:r>
    </w:p>
    <w:p w14:paraId="0CF1B4B3" w14:textId="54014761" w:rsidR="00122B42" w:rsidRDefault="00122B42" w:rsidP="00CB3517">
      <w:pPr>
        <w:spacing w:line="276" w:lineRule="auto"/>
        <w:ind w:left="-426" w:right="-568"/>
        <w:jc w:val="both"/>
        <w:rPr>
          <w:rFonts w:ascii="Arial" w:eastAsiaTheme="minorEastAsia" w:hAnsi="Arial" w:cs="Arial"/>
          <w:color w:val="000000"/>
          <w:lang w:eastAsia="es-ES"/>
        </w:rPr>
      </w:pPr>
      <w:r w:rsidRPr="00122B42">
        <w:rPr>
          <w:rFonts w:ascii="Arial" w:eastAsiaTheme="minorEastAsia" w:hAnsi="Arial" w:cs="Arial"/>
          <w:color w:val="000000"/>
          <w:lang w:eastAsia="es-ES"/>
        </w:rPr>
        <w:t>La directora territorial de CaixaBank en la Comuni</w:t>
      </w:r>
      <w:r>
        <w:rPr>
          <w:rFonts w:ascii="Arial" w:eastAsiaTheme="minorEastAsia" w:hAnsi="Arial" w:cs="Arial"/>
          <w:color w:val="000000"/>
          <w:lang w:eastAsia="es-ES"/>
        </w:rPr>
        <w:t>dad Valenciana y la Región de Murcia ha manifestado que “e</w:t>
      </w:r>
      <w:r w:rsidRPr="00122B42">
        <w:rPr>
          <w:rFonts w:ascii="Arial" w:eastAsiaTheme="minorEastAsia" w:hAnsi="Arial" w:cs="Arial"/>
          <w:color w:val="000000"/>
          <w:lang w:eastAsia="es-ES"/>
        </w:rPr>
        <w:t>ste convenio con Hefame refuerza el compromiso de CaixaBank con un sector tan esencial como el farmacéutico, que desempeña un papel clave en la salud y el bienestar de la sociedad, y a través de esta alianza queremos acompañar a los farmacéuticos en momentos decisivos de su actividad profesional, facilitándoles soluciones financieras especializadas y adaptadas a la realidad de su negocio</w:t>
      </w:r>
      <w:r>
        <w:rPr>
          <w:rFonts w:ascii="Arial" w:eastAsiaTheme="minorEastAsia" w:hAnsi="Arial" w:cs="Arial"/>
          <w:color w:val="000000"/>
          <w:lang w:eastAsia="es-ES"/>
        </w:rPr>
        <w:t>”.</w:t>
      </w:r>
    </w:p>
    <w:p w14:paraId="7D0A8BD1" w14:textId="77777777" w:rsidR="00237656" w:rsidRDefault="00122B42" w:rsidP="00CB3517">
      <w:pPr>
        <w:spacing w:line="276" w:lineRule="auto"/>
        <w:ind w:left="-426" w:right="-568"/>
        <w:jc w:val="both"/>
        <w:rPr>
          <w:rFonts w:ascii="Arial" w:eastAsiaTheme="minorEastAsia" w:hAnsi="Arial" w:cs="Arial"/>
          <w:color w:val="000000"/>
          <w:lang w:eastAsia="es-ES"/>
        </w:rPr>
      </w:pPr>
      <w:r w:rsidRPr="00237656">
        <w:rPr>
          <w:rFonts w:ascii="Arial" w:eastAsiaTheme="minorEastAsia" w:hAnsi="Arial" w:cs="Arial"/>
          <w:color w:val="000000"/>
          <w:lang w:eastAsia="es-ES"/>
        </w:rPr>
        <w:t>Por su parte, el presidente del Consejo Rector de Hefame ha señalado que “</w:t>
      </w:r>
      <w:r w:rsidR="00237656" w:rsidRPr="00237656">
        <w:rPr>
          <w:rFonts w:ascii="Arial" w:eastAsiaTheme="minorEastAsia" w:hAnsi="Arial" w:cs="Arial"/>
          <w:color w:val="000000"/>
          <w:lang w:eastAsia="es-ES"/>
        </w:rPr>
        <w:t>los socios de Hefame han demostrado a lo largo de los años una confianza sólida en su cooperativa, y nuestro compromiso es seguir respondiendo a esa confianza con soluciones que aporten valor real a la farmacia</w:t>
      </w:r>
      <w:r w:rsidR="00237656">
        <w:rPr>
          <w:rFonts w:ascii="Arial" w:eastAsiaTheme="minorEastAsia" w:hAnsi="Arial" w:cs="Arial"/>
          <w:color w:val="000000"/>
          <w:lang w:eastAsia="es-ES"/>
        </w:rPr>
        <w:t>”</w:t>
      </w:r>
      <w:r w:rsidR="00237656" w:rsidRPr="00237656">
        <w:rPr>
          <w:rFonts w:ascii="Arial" w:eastAsiaTheme="minorEastAsia" w:hAnsi="Arial" w:cs="Arial"/>
          <w:color w:val="000000"/>
          <w:lang w:eastAsia="es-ES"/>
        </w:rPr>
        <w:t xml:space="preserve">. </w:t>
      </w:r>
    </w:p>
    <w:p w14:paraId="343A9FF7" w14:textId="56EAB1B7" w:rsidR="00122B42" w:rsidRPr="00122B42" w:rsidRDefault="00237656" w:rsidP="00CB3517">
      <w:pPr>
        <w:spacing w:line="276" w:lineRule="auto"/>
        <w:ind w:left="-426" w:right="-568"/>
        <w:jc w:val="both"/>
        <w:rPr>
          <w:rFonts w:ascii="Arial" w:eastAsiaTheme="minorEastAsia" w:hAnsi="Arial" w:cs="Arial"/>
          <w:color w:val="000000"/>
          <w:lang w:eastAsia="es-ES"/>
        </w:rPr>
      </w:pPr>
      <w:r>
        <w:rPr>
          <w:rFonts w:ascii="Arial" w:eastAsiaTheme="minorEastAsia" w:hAnsi="Arial" w:cs="Arial"/>
          <w:color w:val="000000"/>
          <w:lang w:eastAsia="es-ES"/>
        </w:rPr>
        <w:t>“</w:t>
      </w:r>
      <w:r w:rsidRPr="00237656">
        <w:rPr>
          <w:rFonts w:ascii="Arial" w:eastAsiaTheme="minorEastAsia" w:hAnsi="Arial" w:cs="Arial"/>
          <w:color w:val="000000"/>
          <w:lang w:eastAsia="es-ES"/>
        </w:rPr>
        <w:t xml:space="preserve">Este acuerdo con CaixaBank refuerza </w:t>
      </w:r>
      <w:r>
        <w:rPr>
          <w:rFonts w:ascii="Arial" w:eastAsiaTheme="minorEastAsia" w:hAnsi="Arial" w:cs="Arial"/>
          <w:color w:val="000000"/>
          <w:lang w:eastAsia="es-ES"/>
        </w:rPr>
        <w:t>nuestra</w:t>
      </w:r>
      <w:r w:rsidRPr="00237656">
        <w:rPr>
          <w:rFonts w:ascii="Arial" w:eastAsiaTheme="minorEastAsia" w:hAnsi="Arial" w:cs="Arial"/>
          <w:color w:val="000000"/>
          <w:lang w:eastAsia="es-ES"/>
        </w:rPr>
        <w:t xml:space="preserve"> vocación de acompañamiento y ofrece a nuestros socios la tranquilidad de contar con una entidad financiera de primer nivel para afrontar sus necesidades de financiación con las máximas garantías</w:t>
      </w:r>
      <w:r w:rsidR="00122B42" w:rsidRPr="00237656">
        <w:rPr>
          <w:rFonts w:ascii="Arial" w:eastAsiaTheme="minorEastAsia" w:hAnsi="Arial" w:cs="Arial"/>
          <w:color w:val="000000"/>
          <w:lang w:eastAsia="es-ES"/>
        </w:rPr>
        <w:t>”</w:t>
      </w:r>
      <w:r w:rsidRPr="00237656">
        <w:rPr>
          <w:rFonts w:ascii="Arial" w:eastAsiaTheme="minorEastAsia" w:hAnsi="Arial" w:cs="Arial"/>
          <w:color w:val="000000"/>
          <w:lang w:eastAsia="es-ES"/>
        </w:rPr>
        <w:t>, ha añadido Ayuso</w:t>
      </w:r>
      <w:r w:rsidR="00122B42" w:rsidRPr="00237656">
        <w:rPr>
          <w:rFonts w:ascii="Arial" w:eastAsiaTheme="minorEastAsia" w:hAnsi="Arial" w:cs="Arial"/>
          <w:color w:val="000000"/>
          <w:lang w:eastAsia="es-ES"/>
        </w:rPr>
        <w:t>.</w:t>
      </w:r>
    </w:p>
    <w:p w14:paraId="37EB8321" w14:textId="77777777" w:rsidR="00CB3517" w:rsidRPr="00CB3517" w:rsidRDefault="00CB3517" w:rsidP="00CB3517">
      <w:pPr>
        <w:spacing w:line="276" w:lineRule="auto"/>
        <w:ind w:left="-426" w:right="-568"/>
        <w:jc w:val="both"/>
        <w:rPr>
          <w:rFonts w:ascii="Arial" w:eastAsiaTheme="minorEastAsia" w:hAnsi="Arial" w:cs="Arial"/>
          <w:color w:val="000000"/>
          <w:lang w:val="es-ES_tradnl" w:eastAsia="es-ES"/>
        </w:rPr>
      </w:pPr>
      <w:r w:rsidRPr="00CB3517">
        <w:rPr>
          <w:rFonts w:ascii="Arial" w:eastAsiaTheme="minorEastAsia" w:hAnsi="Arial" w:cs="Arial"/>
          <w:color w:val="000000"/>
          <w:lang w:val="es-ES_tradnl" w:eastAsia="es-ES"/>
        </w:rPr>
        <w:t xml:space="preserve">Con este convenio, CaixaBank reafirma su papel como entidad financiera de referencia para los profesionales y las empresas, poniendo a disposición del sector farmacéutico su amplia red de oficinas, su experiencia en financiación especializada y equipos expertos en el ámbito healthcare y pharma. Por su parte, </w:t>
      </w:r>
      <w:bookmarkStart w:id="1" w:name="_Hlk219199408"/>
      <w:r w:rsidRPr="00CB3517">
        <w:rPr>
          <w:rFonts w:ascii="Arial" w:eastAsiaTheme="minorEastAsia" w:hAnsi="Arial" w:cs="Arial"/>
          <w:color w:val="000000"/>
          <w:lang w:val="es-ES_tradnl" w:eastAsia="es-ES"/>
        </w:rPr>
        <w:t>Hefame refuerza su propuesta de valor a los socios, acompañándolos en momentos clave de su actividad empresarial y facilitando su acceso a soluciones financieras adaptadas a sus necesidades</w:t>
      </w:r>
      <w:bookmarkEnd w:id="1"/>
      <w:r w:rsidRPr="00CB3517">
        <w:rPr>
          <w:rFonts w:ascii="Arial" w:eastAsiaTheme="minorEastAsia" w:hAnsi="Arial" w:cs="Arial"/>
          <w:color w:val="000000"/>
          <w:lang w:val="es-ES_tradnl" w:eastAsia="es-ES"/>
        </w:rPr>
        <w:t>.</w:t>
      </w:r>
    </w:p>
    <w:p w14:paraId="1098A3C4" w14:textId="5DD22C5A" w:rsidR="00A94339" w:rsidRPr="002714C1" w:rsidRDefault="00CB3517" w:rsidP="00CB3517">
      <w:pPr>
        <w:spacing w:line="276" w:lineRule="auto"/>
        <w:ind w:left="-426" w:right="-568"/>
        <w:jc w:val="both"/>
        <w:rPr>
          <w:rFonts w:ascii="Arial" w:eastAsiaTheme="minorEastAsia" w:hAnsi="Arial" w:cs="Arial"/>
          <w:color w:val="000000"/>
          <w:lang w:val="es-ES_tradnl" w:eastAsia="es-ES"/>
        </w:rPr>
      </w:pPr>
      <w:r w:rsidRPr="00CB3517">
        <w:rPr>
          <w:rFonts w:ascii="Arial" w:eastAsiaTheme="minorEastAsia" w:hAnsi="Arial" w:cs="Arial"/>
          <w:color w:val="000000"/>
          <w:lang w:val="es-ES_tradnl" w:eastAsia="es-ES"/>
        </w:rPr>
        <w:t>Esta alianza se enmarca en la estrategia de CaixaBank de apoyar el tejido productivo y profesional, contribuyendo al desarrollo económico y social de la Región de Murcia y del conjunto del territorio, y consolidando relaciones de largo plazo basadas en la confianza, la especialización y el compromiso con sectores esenciales para la sociedad.</w:t>
      </w:r>
    </w:p>
    <w:sectPr w:rsidR="00A94339" w:rsidRPr="002714C1" w:rsidSect="00A453ED">
      <w:headerReference w:type="default" r:id="rId8"/>
      <w:footerReference w:type="default" r:id="rId9"/>
      <w:pgSz w:w="11906" w:h="16838"/>
      <w:pgMar w:top="2552" w:right="1701" w:bottom="2268" w:left="170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6D1E5" w14:textId="77777777" w:rsidR="006235DC" w:rsidRDefault="006235DC" w:rsidP="001E4FCE">
      <w:pPr>
        <w:spacing w:after="0" w:line="240" w:lineRule="auto"/>
      </w:pPr>
      <w:r>
        <w:separator/>
      </w:r>
    </w:p>
  </w:endnote>
  <w:endnote w:type="continuationSeparator" w:id="0">
    <w:p w14:paraId="7B16E72F" w14:textId="77777777" w:rsidR="006235DC" w:rsidRDefault="006235DC" w:rsidP="001E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80B65" w14:textId="3B6FE1DB" w:rsidR="008F0D64" w:rsidRPr="00B60236" w:rsidRDefault="00B81BAC" w:rsidP="009D0564">
    <w:pPr>
      <w:pStyle w:val="Piedepgina"/>
      <w:rPr>
        <w:rFonts w:ascii="Arial" w:hAnsi="Arial" w:cs="Arial"/>
        <w:sz w:val="16"/>
        <w:szCs w:val="16"/>
      </w:rPr>
    </w:pPr>
    <w:r w:rsidRPr="0073512B">
      <w:rPr>
        <w:rFonts w:ascii="Arial" w:hAnsi="Arial" w:cs="Arial"/>
        <w:noProof/>
        <w:color w:val="636463"/>
        <w:sz w:val="16"/>
        <w:szCs w:val="16"/>
      </w:rPr>
      <mc:AlternateContent>
        <mc:Choice Requires="wps">
          <w:drawing>
            <wp:anchor distT="71755" distB="71755" distL="114300" distR="114300" simplePos="0" relativeHeight="251668480" behindDoc="0" locked="0" layoutInCell="1" allowOverlap="1" wp14:anchorId="4E387429" wp14:editId="478DF312">
              <wp:simplePos x="0" y="0"/>
              <wp:positionH relativeFrom="margin">
                <wp:posOffset>-552450</wp:posOffset>
              </wp:positionH>
              <wp:positionV relativeFrom="page">
                <wp:posOffset>9658985</wp:posOffset>
              </wp:positionV>
              <wp:extent cx="1493520" cy="532765"/>
              <wp:effectExtent l="0" t="0" r="0" b="635"/>
              <wp:wrapSquare wrapText="bothSides"/>
              <wp:docPr id="14" name="Cuadro de tex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3520" cy="532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EFC09E4" w14:textId="77777777" w:rsidR="00B81BAC" w:rsidRDefault="00B81BAC" w:rsidP="00B81BAC">
                          <w:pPr>
                            <w:pStyle w:val="Prrafobsico"/>
                            <w:spacing w:line="240" w:lineRule="auto"/>
                            <w:rPr>
                              <w:rFonts w:ascii="Arial" w:hAnsi="Arial" w:cs="Arial"/>
                              <w:color w:val="656565"/>
                              <w:sz w:val="12"/>
                              <w:szCs w:val="12"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color w:val="656565"/>
                              <w:sz w:val="12"/>
                              <w:szCs w:val="12"/>
                              <w:lang w:val="es-ES"/>
                            </w:rPr>
                            <w:t>José Antonio Meseguer Contreras</w:t>
                          </w:r>
                        </w:p>
                        <w:p w14:paraId="66143728" w14:textId="77777777" w:rsidR="00B81BAC" w:rsidRPr="00280C9B" w:rsidRDefault="00B81BAC" w:rsidP="00B81BAC">
                          <w:pPr>
                            <w:pStyle w:val="Prrafobsico"/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656565"/>
                              <w:sz w:val="12"/>
                              <w:szCs w:val="12"/>
                              <w:lang w:val="es-ES"/>
                            </w:rPr>
                          </w:pPr>
                          <w:r w:rsidRPr="00280C9B">
                            <w:rPr>
                              <w:rFonts w:ascii="Arial" w:hAnsi="Arial" w:cs="Arial"/>
                              <w:color w:val="656565"/>
                              <w:sz w:val="12"/>
                              <w:szCs w:val="12"/>
                              <w:lang w:val="es-ES"/>
                            </w:rPr>
                            <w:t xml:space="preserve">Responsable de Comunicación </w:t>
                          </w:r>
                          <w:r>
                            <w:rPr>
                              <w:rFonts w:ascii="Arial" w:hAnsi="Arial" w:cs="Arial"/>
                              <w:color w:val="656565"/>
                              <w:sz w:val="12"/>
                              <w:szCs w:val="12"/>
                              <w:lang w:val="es-ES"/>
                            </w:rPr>
                            <w:t>en la Región de</w:t>
                          </w:r>
                          <w:r w:rsidRPr="00280C9B">
                            <w:rPr>
                              <w:rFonts w:ascii="Arial" w:hAnsi="Arial" w:cs="Arial"/>
                              <w:color w:val="656565"/>
                              <w:sz w:val="12"/>
                              <w:szCs w:val="12"/>
                              <w:lang w:val="es-ES"/>
                            </w:rPr>
                            <w:t xml:space="preserve"> M</w:t>
                          </w:r>
                          <w:r>
                            <w:rPr>
                              <w:rFonts w:ascii="Arial" w:hAnsi="Arial" w:cs="Arial"/>
                              <w:color w:val="656565"/>
                              <w:sz w:val="12"/>
                              <w:szCs w:val="12"/>
                              <w:lang w:val="es-ES"/>
                            </w:rPr>
                            <w:t>urcia</w:t>
                          </w:r>
                        </w:p>
                        <w:p w14:paraId="3094F6BD" w14:textId="77777777" w:rsidR="00B81BAC" w:rsidRPr="00280C9B" w:rsidRDefault="00000000" w:rsidP="00B81BAC">
                          <w:pPr>
                            <w:rPr>
                              <w:rFonts w:ascii="Arial" w:hAnsi="Arial" w:cs="Arial"/>
                              <w:color w:val="656565"/>
                              <w:sz w:val="12"/>
                              <w:szCs w:val="12"/>
                            </w:rPr>
                          </w:pPr>
                          <w:hyperlink r:id="rId1" w:history="1">
                            <w:r w:rsidR="00B81BAC" w:rsidRPr="00EA524C">
                              <w:rPr>
                                <w:rStyle w:val="Hipervnculo"/>
                                <w:rFonts w:ascii="Arial" w:hAnsi="Arial" w:cs="Arial"/>
                                <w:sz w:val="12"/>
                                <w:szCs w:val="12"/>
                              </w:rPr>
                              <w:t>Jose.a.meseguer@caixabank.com</w:t>
                            </w:r>
                          </w:hyperlink>
                          <w:r w:rsidR="00B81BAC">
                            <w:rPr>
                              <w:rFonts w:ascii="Arial" w:hAnsi="Arial" w:cs="Arial"/>
                              <w:color w:val="656565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  <w:p w14:paraId="5DCA7824" w14:textId="77777777" w:rsidR="00B81BAC" w:rsidRPr="0042506E" w:rsidRDefault="00B81BAC" w:rsidP="00B81BAC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  <w:lang w:val="es-ES_tradn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387429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6" type="#_x0000_t202" style="position:absolute;margin-left:-43.5pt;margin-top:760.55pt;width:117.6pt;height:41.95pt;z-index:251668480;visibility:visible;mso-wrap-style:square;mso-width-percent:0;mso-height-percent:0;mso-wrap-distance-left:9pt;mso-wrap-distance-top:5.65pt;mso-wrap-distance-right:9pt;mso-wrap-distance-bottom:5.65pt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" filled="f" stroked="f">
              <v:textbox>
                <w:txbxContent>
                  <w:p w14:paraId="3EFC09E4" w14:textId="77777777" w:rsidR="00B81BAC" w:rsidRDefault="00B81BAC" w:rsidP="00B81BAC">
                    <w:pPr>
                      <w:pStyle w:val="Prrafobsico"/>
                      <w:spacing w:line="240" w:lineRule="auto"/>
                      <w:rPr>
                        <w:rFonts w:ascii="Arial" w:hAnsi="Arial" w:cs="Arial"/>
                        <w:color w:val="656565"/>
                        <w:sz w:val="12"/>
                        <w:szCs w:val="12"/>
                        <w:lang w:val="es-ES"/>
                      </w:rPr>
                    </w:pPr>
                    <w:r>
                      <w:rPr>
                        <w:rFonts w:ascii="Arial" w:hAnsi="Arial" w:cs="Arial"/>
                        <w:color w:val="656565"/>
                        <w:sz w:val="12"/>
                        <w:szCs w:val="12"/>
                        <w:lang w:val="es-ES"/>
                      </w:rPr>
                      <w:t>José Antonio Meseguer Contreras</w:t>
                    </w:r>
                  </w:p>
                  <w:p w14:paraId="66143728" w14:textId="77777777" w:rsidR="00B81BAC" w:rsidRPr="00280C9B" w:rsidRDefault="00B81BAC" w:rsidP="00B81BAC">
                    <w:pPr>
                      <w:pStyle w:val="Prrafobsico"/>
                      <w:spacing w:line="240" w:lineRule="auto"/>
                      <w:jc w:val="center"/>
                      <w:rPr>
                        <w:rFonts w:ascii="Arial" w:hAnsi="Arial" w:cs="Arial"/>
                        <w:color w:val="656565"/>
                        <w:sz w:val="12"/>
                        <w:szCs w:val="12"/>
                        <w:lang w:val="es-ES"/>
                      </w:rPr>
                    </w:pPr>
                    <w:r w:rsidRPr="00280C9B">
                      <w:rPr>
                        <w:rFonts w:ascii="Arial" w:hAnsi="Arial" w:cs="Arial"/>
                        <w:color w:val="656565"/>
                        <w:sz w:val="12"/>
                        <w:szCs w:val="12"/>
                        <w:lang w:val="es-ES"/>
                      </w:rPr>
                      <w:t xml:space="preserve">Responsable de Comunicación </w:t>
                    </w:r>
                    <w:r>
                      <w:rPr>
                        <w:rFonts w:ascii="Arial" w:hAnsi="Arial" w:cs="Arial"/>
                        <w:color w:val="656565"/>
                        <w:sz w:val="12"/>
                        <w:szCs w:val="12"/>
                        <w:lang w:val="es-ES"/>
                      </w:rPr>
                      <w:t>en la Región de</w:t>
                    </w:r>
                    <w:r w:rsidRPr="00280C9B">
                      <w:rPr>
                        <w:rFonts w:ascii="Arial" w:hAnsi="Arial" w:cs="Arial"/>
                        <w:color w:val="656565"/>
                        <w:sz w:val="12"/>
                        <w:szCs w:val="12"/>
                        <w:lang w:val="es-ES"/>
                      </w:rPr>
                      <w:t xml:space="preserve"> M</w:t>
                    </w:r>
                    <w:r>
                      <w:rPr>
                        <w:rFonts w:ascii="Arial" w:hAnsi="Arial" w:cs="Arial"/>
                        <w:color w:val="656565"/>
                        <w:sz w:val="12"/>
                        <w:szCs w:val="12"/>
                        <w:lang w:val="es-ES"/>
                      </w:rPr>
                      <w:t>urcia</w:t>
                    </w:r>
                  </w:p>
                  <w:p w14:paraId="3094F6BD" w14:textId="77777777" w:rsidR="00B81BAC" w:rsidRPr="00280C9B" w:rsidRDefault="00000000" w:rsidP="00B81BAC">
                    <w:pPr>
                      <w:rPr>
                        <w:rFonts w:ascii="Arial" w:hAnsi="Arial" w:cs="Arial"/>
                        <w:color w:val="656565"/>
                        <w:sz w:val="12"/>
                        <w:szCs w:val="12"/>
                      </w:rPr>
                    </w:pPr>
                    <w:hyperlink r:id="rId2" w:history="1">
                      <w:r w:rsidR="00B81BAC" w:rsidRPr="00EA524C">
                        <w:rPr>
                          <w:rStyle w:val="Hipervnculo"/>
                          <w:rFonts w:ascii="Arial" w:hAnsi="Arial" w:cs="Arial"/>
                          <w:sz w:val="12"/>
                          <w:szCs w:val="12"/>
                        </w:rPr>
                        <w:t>Jose.a.meseguer@caixabank.com</w:t>
                      </w:r>
                    </w:hyperlink>
                    <w:r w:rsidR="00B81BAC">
                      <w:rPr>
                        <w:rFonts w:ascii="Arial" w:hAnsi="Arial" w:cs="Arial"/>
                        <w:color w:val="656565"/>
                        <w:sz w:val="12"/>
                        <w:szCs w:val="12"/>
                      </w:rPr>
                      <w:t xml:space="preserve"> </w:t>
                    </w:r>
                  </w:p>
                  <w:p w14:paraId="5DCA7824" w14:textId="77777777" w:rsidR="00B81BAC" w:rsidRPr="0042506E" w:rsidRDefault="00B81BAC" w:rsidP="00B81BAC">
                    <w:pPr>
                      <w:rPr>
                        <w:rFonts w:ascii="Arial" w:hAnsi="Arial" w:cs="Arial"/>
                        <w:sz w:val="12"/>
                        <w:szCs w:val="12"/>
                        <w:lang w:val="es-ES_tradnl"/>
                      </w:rPr>
                    </w:pPr>
                  </w:p>
                </w:txbxContent>
              </v:textbox>
              <w10:wrap type="square" anchorx="margin" anchory="page"/>
            </v:shape>
          </w:pict>
        </mc:Fallback>
      </mc:AlternateContent>
    </w:r>
    <w:r w:rsidR="00211689">
      <w:rPr>
        <w:noProof/>
      </w:rPr>
      <w:drawing>
        <wp:anchor distT="0" distB="0" distL="114300" distR="114300" simplePos="0" relativeHeight="251666432" behindDoc="1" locked="0" layoutInCell="1" allowOverlap="1" wp14:anchorId="56DB8FB8" wp14:editId="5BC7A88D">
          <wp:simplePos x="0" y="0"/>
          <wp:positionH relativeFrom="column">
            <wp:posOffset>914400</wp:posOffset>
          </wp:positionH>
          <wp:positionV relativeFrom="paragraph">
            <wp:posOffset>-567690</wp:posOffset>
          </wp:positionV>
          <wp:extent cx="5187315" cy="834390"/>
          <wp:effectExtent l="0" t="0" r="0" b="3810"/>
          <wp:wrapNone/>
          <wp:docPr id="2" name="Imagen 2" descr="Diagra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Diagrama&#10;&#10;Descripción generada automáticamente con confianza baja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7315" cy="834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689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E7D3522" wp14:editId="7B8BD1AB">
              <wp:simplePos x="0" y="0"/>
              <wp:positionH relativeFrom="page">
                <wp:posOffset>612140</wp:posOffset>
              </wp:positionH>
              <wp:positionV relativeFrom="paragraph">
                <wp:posOffset>-631891</wp:posOffset>
              </wp:positionV>
              <wp:extent cx="6335395" cy="0"/>
              <wp:effectExtent l="0" t="0" r="0" b="0"/>
              <wp:wrapSquare wrapText="bothSides"/>
              <wp:docPr id="12" name="Conector rec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3539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>
          <w:pict>
            <v:line w14:anchorId="2A008A87" id="Conector recto 12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48.2pt,-49.75pt" to="547.05pt,-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" strokecolor="black [3200]" strokeweight=".5pt">
              <v:stroke joinstyle="miter"/>
              <w10:wrap type="square" anchorx="page"/>
            </v:line>
          </w:pict>
        </mc:Fallback>
      </mc:AlternateContent>
    </w:r>
  </w:p>
  <w:p w14:paraId="08AF43A8" w14:textId="0144EFB4" w:rsidR="00271003" w:rsidRDefault="00271003" w:rsidP="00271003">
    <w:pPr>
      <w:pStyle w:val="Piedepgina"/>
      <w:tabs>
        <w:tab w:val="clear" w:pos="4252"/>
        <w:tab w:val="clear" w:pos="8504"/>
        <w:tab w:val="left" w:pos="5882"/>
      </w:tabs>
      <w:ind w:left="920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53313" w14:textId="77777777" w:rsidR="006235DC" w:rsidRDefault="006235DC" w:rsidP="001E4FCE">
      <w:pPr>
        <w:spacing w:after="0" w:line="240" w:lineRule="auto"/>
      </w:pPr>
      <w:r>
        <w:separator/>
      </w:r>
    </w:p>
  </w:footnote>
  <w:footnote w:type="continuationSeparator" w:id="0">
    <w:p w14:paraId="5C560F28" w14:textId="77777777" w:rsidR="006235DC" w:rsidRDefault="006235DC" w:rsidP="001E4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3BF40" w14:textId="10D97AC8" w:rsidR="001E4FCE" w:rsidRDefault="003B61F5">
    <w:pPr>
      <w:pStyle w:val="Encabezado"/>
    </w:pPr>
    <w:r>
      <w:rPr>
        <w:noProof/>
      </w:rPr>
      <w:drawing>
        <wp:anchor distT="0" distB="0" distL="114300" distR="114300" simplePos="0" relativeHeight="251669504" behindDoc="0" locked="0" layoutInCell="1" allowOverlap="1" wp14:anchorId="0247F345" wp14:editId="4936E7F3">
          <wp:simplePos x="0" y="0"/>
          <wp:positionH relativeFrom="column">
            <wp:posOffset>3913841</wp:posOffset>
          </wp:positionH>
          <wp:positionV relativeFrom="paragraph">
            <wp:posOffset>6194</wp:posOffset>
          </wp:positionV>
          <wp:extent cx="2049729" cy="405441"/>
          <wp:effectExtent l="0" t="0" r="8255" b="0"/>
          <wp:wrapNone/>
          <wp:docPr id="3" name="Imagen 3" descr="GRUPO HEFAME confía en Grupotec para la ejecución de su nueva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UPO HEFAME confía en Grupotec para la ejecución de su nueva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729" cy="4054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023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8660B0" wp14:editId="2E03C975">
              <wp:simplePos x="0" y="0"/>
              <wp:positionH relativeFrom="margin">
                <wp:align>center</wp:align>
              </wp:positionH>
              <wp:positionV relativeFrom="paragraph">
                <wp:posOffset>527685</wp:posOffset>
              </wp:positionV>
              <wp:extent cx="6286500" cy="177800"/>
              <wp:effectExtent l="0" t="0" r="19050" b="1270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86500" cy="177800"/>
                      </a:xfrm>
                      <a:prstGeom prst="rect">
                        <a:avLst/>
                      </a:prstGeom>
                      <a:solidFill>
                        <a:srgbClr val="DBDEDD"/>
                      </a:solidFill>
                      <a:ln>
                        <a:solidFill>
                          <a:srgbClr val="DBDEDD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7F29C86F" id="Rectángulo 1" o:spid="_x0000_s1026" style="position:absolute;margin-left:0;margin-top:41.55pt;width:495pt;height:14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" fillcolor="#dbdedd" strokecolor="#dbdedd" strokeweight="1pt">
              <w10:wrap anchorx="margin"/>
            </v:rect>
          </w:pict>
        </mc:Fallback>
      </mc:AlternateContent>
    </w:r>
    <w:r w:rsidR="001F5497">
      <w:rPr>
        <w:noProof/>
      </w:rPr>
      <w:drawing>
        <wp:anchor distT="0" distB="0" distL="114300" distR="114300" simplePos="0" relativeHeight="251661312" behindDoc="0" locked="0" layoutInCell="1" allowOverlap="1" wp14:anchorId="41E385E5" wp14:editId="1A479489">
          <wp:simplePos x="0" y="0"/>
          <wp:positionH relativeFrom="column">
            <wp:posOffset>-438785</wp:posOffset>
          </wp:positionH>
          <wp:positionV relativeFrom="paragraph">
            <wp:posOffset>46355</wp:posOffset>
          </wp:positionV>
          <wp:extent cx="1625600" cy="335280"/>
          <wp:effectExtent l="0" t="0" r="0" b="7620"/>
          <wp:wrapSquare wrapText="bothSides"/>
          <wp:docPr id="6" name="Imagen 6" descr="Dibujo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Dibujo con letras&#10;&#10;Descripción generada automáticamente con confianza me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5600" cy="335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73691"/>
    <w:multiLevelType w:val="hybridMultilevel"/>
    <w:tmpl w:val="408A77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145231"/>
    <w:multiLevelType w:val="hybridMultilevel"/>
    <w:tmpl w:val="B7F001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69190">
    <w:abstractNumId w:val="1"/>
  </w:num>
  <w:num w:numId="2" w16cid:durableId="705302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73A"/>
    <w:rsid w:val="00043C13"/>
    <w:rsid w:val="00051CF6"/>
    <w:rsid w:val="0006627E"/>
    <w:rsid w:val="000906F9"/>
    <w:rsid w:val="000D0614"/>
    <w:rsid w:val="000E073A"/>
    <w:rsid w:val="000E2BFA"/>
    <w:rsid w:val="001131AA"/>
    <w:rsid w:val="00120E32"/>
    <w:rsid w:val="00122B42"/>
    <w:rsid w:val="0014220F"/>
    <w:rsid w:val="00142273"/>
    <w:rsid w:val="00154307"/>
    <w:rsid w:val="0017053A"/>
    <w:rsid w:val="0018584B"/>
    <w:rsid w:val="001C0D47"/>
    <w:rsid w:val="001D4F30"/>
    <w:rsid w:val="001E4FCE"/>
    <w:rsid w:val="001F5497"/>
    <w:rsid w:val="00205E39"/>
    <w:rsid w:val="00211689"/>
    <w:rsid w:val="002346E4"/>
    <w:rsid w:val="0023518F"/>
    <w:rsid w:val="00237656"/>
    <w:rsid w:val="00271003"/>
    <w:rsid w:val="002714C1"/>
    <w:rsid w:val="002F01A1"/>
    <w:rsid w:val="0032666D"/>
    <w:rsid w:val="003B61F5"/>
    <w:rsid w:val="003C2503"/>
    <w:rsid w:val="003C2C20"/>
    <w:rsid w:val="00431384"/>
    <w:rsid w:val="00481A4D"/>
    <w:rsid w:val="00481FEA"/>
    <w:rsid w:val="004D1EEA"/>
    <w:rsid w:val="004D2AA9"/>
    <w:rsid w:val="00544F3B"/>
    <w:rsid w:val="005459BA"/>
    <w:rsid w:val="005461BF"/>
    <w:rsid w:val="00565B85"/>
    <w:rsid w:val="00573EA0"/>
    <w:rsid w:val="005B3D52"/>
    <w:rsid w:val="005D465B"/>
    <w:rsid w:val="005F6FD3"/>
    <w:rsid w:val="00601423"/>
    <w:rsid w:val="006235DC"/>
    <w:rsid w:val="006263FD"/>
    <w:rsid w:val="00654A41"/>
    <w:rsid w:val="00672CE4"/>
    <w:rsid w:val="006A777C"/>
    <w:rsid w:val="006B2F4D"/>
    <w:rsid w:val="006C45A5"/>
    <w:rsid w:val="00715423"/>
    <w:rsid w:val="007C5D4F"/>
    <w:rsid w:val="007D7D7B"/>
    <w:rsid w:val="008020F9"/>
    <w:rsid w:val="008134C5"/>
    <w:rsid w:val="00856A41"/>
    <w:rsid w:val="008A15A9"/>
    <w:rsid w:val="008F0D64"/>
    <w:rsid w:val="008F40FF"/>
    <w:rsid w:val="008F4D94"/>
    <w:rsid w:val="00912055"/>
    <w:rsid w:val="00973980"/>
    <w:rsid w:val="009D0564"/>
    <w:rsid w:val="00A453ED"/>
    <w:rsid w:val="00A92E88"/>
    <w:rsid w:val="00A94339"/>
    <w:rsid w:val="00AF00A0"/>
    <w:rsid w:val="00B4421C"/>
    <w:rsid w:val="00B60236"/>
    <w:rsid w:val="00B81BAC"/>
    <w:rsid w:val="00BC5966"/>
    <w:rsid w:val="00BC601B"/>
    <w:rsid w:val="00C010B8"/>
    <w:rsid w:val="00C16C70"/>
    <w:rsid w:val="00C81ADB"/>
    <w:rsid w:val="00CA625B"/>
    <w:rsid w:val="00CB3517"/>
    <w:rsid w:val="00CC1975"/>
    <w:rsid w:val="00D040E1"/>
    <w:rsid w:val="00D46922"/>
    <w:rsid w:val="00DA0828"/>
    <w:rsid w:val="00DA4325"/>
    <w:rsid w:val="00DB0385"/>
    <w:rsid w:val="00DC72F6"/>
    <w:rsid w:val="00DF0690"/>
    <w:rsid w:val="00DF26D7"/>
    <w:rsid w:val="00DF626E"/>
    <w:rsid w:val="00E101FD"/>
    <w:rsid w:val="00E6220D"/>
    <w:rsid w:val="00E877E2"/>
    <w:rsid w:val="00E95E9D"/>
    <w:rsid w:val="00EA4398"/>
    <w:rsid w:val="00EC4734"/>
    <w:rsid w:val="00F5329B"/>
    <w:rsid w:val="00F75D0C"/>
    <w:rsid w:val="00FA4564"/>
    <w:rsid w:val="00FA716A"/>
    <w:rsid w:val="00FC7D71"/>
    <w:rsid w:val="00FD72F3"/>
    <w:rsid w:val="00FE1971"/>
    <w:rsid w:val="00FF25EB"/>
    <w:rsid w:val="00F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EFEDC"/>
  <w15:chartTrackingRefBased/>
  <w15:docId w15:val="{2693533F-CBAE-4A97-ABD5-E6BFFA7AC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2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E4FC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E4F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4FCE"/>
  </w:style>
  <w:style w:type="paragraph" w:styleId="Piedepgina">
    <w:name w:val="footer"/>
    <w:basedOn w:val="Normal"/>
    <w:link w:val="PiedepginaCar"/>
    <w:uiPriority w:val="99"/>
    <w:unhideWhenUsed/>
    <w:rsid w:val="001E4F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FCE"/>
  </w:style>
  <w:style w:type="character" w:styleId="Hipervnculo">
    <w:name w:val="Hyperlink"/>
    <w:basedOn w:val="Fuentedeprrafopredeter"/>
    <w:uiPriority w:val="99"/>
    <w:unhideWhenUsed/>
    <w:rsid w:val="00D040E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040E1"/>
    <w:rPr>
      <w:color w:val="605E5C"/>
      <w:shd w:val="clear" w:color="auto" w:fill="E1DFDD"/>
    </w:rPr>
  </w:style>
  <w:style w:type="paragraph" w:customStyle="1" w:styleId="Prrafobsico">
    <w:name w:val="[Párrafo básico]"/>
    <w:basedOn w:val="Normal"/>
    <w:uiPriority w:val="99"/>
    <w:qFormat/>
    <w:rsid w:val="005459B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459B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459B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459B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Jose.a.meseguer@caixabank.com" TargetMode="External"/><Relationship Id="rId1" Type="http://schemas.openxmlformats.org/officeDocument/2006/relationships/hyperlink" Target="mailto:Jose.a.meseguer@caixabank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EFA71-1091-44DB-9F3B-72E37DC45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769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Noelia Pino</dc:creator>
  <cp:keywords/>
  <dc:description/>
  <cp:lastModifiedBy>JOSE ANTONIO MESEGUER CONTRERAS</cp:lastModifiedBy>
  <cp:revision>9</cp:revision>
  <dcterms:created xsi:type="dcterms:W3CDTF">2026-01-13T11:25:00Z</dcterms:created>
  <dcterms:modified xsi:type="dcterms:W3CDTF">2026-01-27T12:10:00Z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c11c9e-624c-4a75-9f78-0989052ff6ea_Enabled">
    <vt:lpwstr>true</vt:lpwstr>
  </property>
  <property fmtid="{D5CDD505-2E9C-101B-9397-08002B2CF9AE}" pid="3" name="MSIP_Label_c2c11c9e-624c-4a75-9f78-0989052ff6ea_SetDate">
    <vt:lpwstr>2022-09-12T12:11:05Z</vt:lpwstr>
  </property>
  <property fmtid="{D5CDD505-2E9C-101B-9397-08002B2CF9AE}" pid="4" name="MSIP_Label_c2c11c9e-624c-4a75-9f78-0989052ff6ea_Method">
    <vt:lpwstr>Standard</vt:lpwstr>
  </property>
  <property fmtid="{D5CDD505-2E9C-101B-9397-08002B2CF9AE}" pid="5" name="MSIP_Label_c2c11c9e-624c-4a75-9f78-0989052ff6ea_Name">
    <vt:lpwstr>c2c11c9e-624c-4a75-9f78-0989052ff6ea</vt:lpwstr>
  </property>
  <property fmtid="{D5CDD505-2E9C-101B-9397-08002B2CF9AE}" pid="6" name="MSIP_Label_c2c11c9e-624c-4a75-9f78-0989052ff6ea_SiteId">
    <vt:lpwstr>5df31d35-3ba9-481e-a3c8-ff9be3ee783b</vt:lpwstr>
  </property>
  <property fmtid="{D5CDD505-2E9C-101B-9397-08002B2CF9AE}" pid="7" name="MSIP_Label_c2c11c9e-624c-4a75-9f78-0989052ff6ea_ActionId">
    <vt:lpwstr>f42509b9-c4b9-45ea-b9b5-7713a7ee1d42</vt:lpwstr>
  </property>
  <property fmtid="{D5CDD505-2E9C-101B-9397-08002B2CF9AE}" pid="8" name="MSIP_Label_c2c11c9e-624c-4a75-9f78-0989052ff6ea_ContentBits">
    <vt:lpwstr>0</vt:lpwstr>
  </property>
</Properties>
</file>