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E9576" w14:textId="1B0C5995" w:rsidR="00BD6D51" w:rsidRDefault="00BD6D51" w:rsidP="00BD6D51">
      <w:pPr>
        <w:shd w:val="clear" w:color="auto" w:fill="FFFFFF"/>
        <w:spacing w:before="300" w:after="240" w:line="360" w:lineRule="auto"/>
        <w:jc w:val="both"/>
        <w:outlineLvl w:val="0"/>
        <w:rPr>
          <w:rFonts w:ascii="Arial" w:hAnsi="Arial" w:cs="Arial"/>
          <w:b/>
          <w:i/>
          <w:iCs/>
          <w:noProof/>
          <w:color w:val="009FEA"/>
          <w:sz w:val="32"/>
          <w:szCs w:val="32"/>
        </w:rPr>
      </w:pPr>
      <w:r w:rsidRPr="00BD6D51">
        <w:rPr>
          <w:rFonts w:ascii="Arial" w:hAnsi="Arial" w:cs="Arial"/>
          <w:b/>
          <w:i/>
          <w:iCs/>
          <w:noProof/>
          <w:color w:val="009FEA"/>
          <w:sz w:val="32"/>
          <w:szCs w:val="32"/>
        </w:rPr>
        <w:t xml:space="preserve">Aragón y España seguirán creciendo en 2026, aunque de forma más moderada, señalan el Instituto de Estudios Económicos y CaixaBank </w:t>
      </w:r>
      <w:r>
        <w:rPr>
          <w:rFonts w:ascii="Arial" w:hAnsi="Arial" w:cs="Arial"/>
          <w:b/>
          <w:i/>
          <w:iCs/>
          <w:noProof/>
          <w:color w:val="009FEA"/>
          <w:sz w:val="32"/>
          <w:szCs w:val="32"/>
        </w:rPr>
        <w:t>Research</w:t>
      </w:r>
    </w:p>
    <w:p w14:paraId="6F7EA7BD" w14:textId="6028AAE9" w:rsidR="00BD6D51" w:rsidRPr="00BD6D51" w:rsidRDefault="00BD6D51" w:rsidP="00BD6D51">
      <w:pPr>
        <w:pStyle w:val="Prrafobsico"/>
        <w:numPr>
          <w:ilvl w:val="0"/>
          <w:numId w:val="2"/>
        </w:numPr>
        <w:suppressAutoHyphens/>
        <w:spacing w:line="276" w:lineRule="auto"/>
        <w:ind w:left="0"/>
        <w:jc w:val="both"/>
        <w:rPr>
          <w:rFonts w:ascii="Arial" w:hAnsi="Arial" w:cs="Arial"/>
          <w:b/>
          <w:i/>
          <w:iCs/>
          <w:noProof/>
          <w:lang w:val="es-ES"/>
        </w:rPr>
      </w:pPr>
      <w:r w:rsidRPr="00BD6D51">
        <w:rPr>
          <w:rFonts w:ascii="Arial" w:hAnsi="Arial" w:cs="Arial"/>
          <w:b/>
          <w:i/>
          <w:iCs/>
          <w:noProof/>
          <w:lang w:val="es-ES"/>
        </w:rPr>
        <w:t xml:space="preserve">CaixaBank y CEOE Aragon organizan la </w:t>
      </w:r>
      <w:r>
        <w:rPr>
          <w:rFonts w:ascii="Arial" w:hAnsi="Arial" w:cs="Arial"/>
          <w:b/>
          <w:i/>
          <w:iCs/>
          <w:noProof/>
          <w:lang w:val="es-ES"/>
        </w:rPr>
        <w:t>j</w:t>
      </w:r>
      <w:r w:rsidRPr="00BD6D51">
        <w:rPr>
          <w:rFonts w:ascii="Arial" w:hAnsi="Arial" w:cs="Arial"/>
          <w:b/>
          <w:i/>
          <w:iCs/>
          <w:noProof/>
          <w:lang w:val="es-ES"/>
        </w:rPr>
        <w:t>ornada perspectivas ecomicas 2026 organizada</w:t>
      </w:r>
      <w:r>
        <w:rPr>
          <w:rFonts w:ascii="Arial" w:hAnsi="Arial" w:cs="Arial"/>
          <w:b/>
          <w:i/>
          <w:iCs/>
          <w:noProof/>
          <w:lang w:val="es-ES"/>
        </w:rPr>
        <w:t xml:space="preserve">, con la participacion del </w:t>
      </w:r>
      <w:r w:rsidRPr="00BD6D51">
        <w:rPr>
          <w:rFonts w:ascii="Arial" w:hAnsi="Arial" w:cs="Arial"/>
          <w:b/>
          <w:i/>
          <w:iCs/>
          <w:noProof/>
          <w:lang w:val="es-ES"/>
        </w:rPr>
        <w:t xml:space="preserve"> director general  del Instituto de Estudios Económicos (IEE), Gregorio Izquierdo, y Luis Pinheiro de Matos, economista de la Dirección de Planificación Estratégica y Estudios de CaixaBank Research</w:t>
      </w:r>
    </w:p>
    <w:p w14:paraId="10D67719" w14:textId="77777777" w:rsidR="00BD6D51" w:rsidRPr="00BD6D51" w:rsidRDefault="00BD6D51" w:rsidP="00BD6D51">
      <w:pPr>
        <w:pStyle w:val="Prrafobsico"/>
        <w:suppressAutoHyphens/>
        <w:spacing w:line="276" w:lineRule="auto"/>
        <w:jc w:val="both"/>
        <w:rPr>
          <w:rFonts w:ascii="Arial" w:hAnsi="Arial" w:cs="Arial"/>
          <w:b/>
          <w:i/>
          <w:iCs/>
          <w:noProof/>
          <w:lang w:val="es-ES"/>
        </w:rPr>
      </w:pPr>
    </w:p>
    <w:p w14:paraId="13388B23" w14:textId="01CD318D" w:rsidR="00BD6D51" w:rsidRDefault="00BD6D51" w:rsidP="00BD6D51">
      <w:pPr>
        <w:pStyle w:val="Prrafobsico"/>
        <w:numPr>
          <w:ilvl w:val="0"/>
          <w:numId w:val="2"/>
        </w:numPr>
        <w:suppressAutoHyphens/>
        <w:spacing w:line="276" w:lineRule="auto"/>
        <w:ind w:left="0"/>
        <w:jc w:val="both"/>
        <w:rPr>
          <w:rFonts w:ascii="Arial" w:hAnsi="Arial" w:cs="Arial"/>
          <w:b/>
          <w:i/>
          <w:iCs/>
          <w:noProof/>
          <w:lang w:val="es-ES"/>
        </w:rPr>
      </w:pPr>
      <w:r w:rsidRPr="00BD6D51">
        <w:rPr>
          <w:rFonts w:ascii="Arial" w:hAnsi="Arial" w:cs="Arial"/>
          <w:b/>
          <w:i/>
          <w:iCs/>
          <w:noProof/>
          <w:lang w:val="es-ES"/>
        </w:rPr>
        <w:t>La presión fiscal y la complejidad regulatoria complican la competitividad empresarial unidas a la incertidumbre de  nacional e internacional</w:t>
      </w:r>
      <w:r>
        <w:rPr>
          <w:rFonts w:ascii="Arial" w:hAnsi="Arial" w:cs="Arial"/>
          <w:b/>
          <w:i/>
          <w:iCs/>
          <w:noProof/>
          <w:lang w:val="es-ES"/>
        </w:rPr>
        <w:t>, como marco de la ecomomia en 2026</w:t>
      </w:r>
    </w:p>
    <w:p w14:paraId="1E43F360" w14:textId="77777777" w:rsidR="00BD6D51" w:rsidRPr="00BD6D51" w:rsidRDefault="00BD6D51" w:rsidP="00BD6D51">
      <w:pPr>
        <w:pStyle w:val="Prrafobsico"/>
        <w:suppressAutoHyphens/>
        <w:spacing w:line="276" w:lineRule="auto"/>
        <w:jc w:val="both"/>
        <w:rPr>
          <w:rFonts w:ascii="Arial" w:hAnsi="Arial" w:cs="Arial"/>
          <w:b/>
          <w:i/>
          <w:iCs/>
          <w:noProof/>
          <w:lang w:val="es-ES"/>
        </w:rPr>
      </w:pPr>
    </w:p>
    <w:p w14:paraId="7B3E8B30" w14:textId="7030B8BB" w:rsidR="00BD6D51" w:rsidRPr="00BD6D51" w:rsidRDefault="00BD6D51" w:rsidP="00BD6D51">
      <w:pPr>
        <w:shd w:val="clear" w:color="auto" w:fill="FFFFFF"/>
        <w:spacing w:before="300" w:after="0" w:line="288" w:lineRule="auto"/>
        <w:jc w:val="both"/>
        <w:outlineLvl w:val="0"/>
        <w:rPr>
          <w:rFonts w:ascii="Arial" w:eastAsiaTheme="minorEastAsia" w:hAnsi="Arial" w:cs="Arial"/>
          <w:color w:val="000000"/>
          <w:lang w:val="es-ES_tradnl" w:eastAsia="es-ES"/>
        </w:rPr>
      </w:pPr>
      <w:r w:rsidRPr="00BD6D51">
        <w:rPr>
          <w:rFonts w:ascii="Arial" w:eastAsiaTheme="minorEastAsia" w:hAnsi="Arial" w:cs="Arial"/>
          <w:b/>
          <w:bCs/>
          <w:color w:val="000000"/>
          <w:lang w:val="es-ES_tradnl" w:eastAsia="es-ES"/>
        </w:rPr>
        <w:t xml:space="preserve">Zaragoza </w:t>
      </w:r>
      <w:r w:rsidRPr="00BD6D51">
        <w:rPr>
          <w:rFonts w:ascii="Arial" w:eastAsiaTheme="minorEastAsia" w:hAnsi="Arial" w:cs="Arial"/>
          <w:b/>
          <w:bCs/>
          <w:color w:val="000000"/>
          <w:lang w:val="es-ES_tradnl" w:eastAsia="es-ES"/>
        </w:rPr>
        <w:t>27/01/2026</w:t>
      </w:r>
      <w:r w:rsidRPr="00BD6D51">
        <w:rPr>
          <w:rFonts w:ascii="Arial" w:eastAsiaTheme="minorEastAsia" w:hAnsi="Arial" w:cs="Arial"/>
          <w:color w:val="000000"/>
          <w:lang w:val="es-ES_tradnl" w:eastAsia="es-ES"/>
        </w:rPr>
        <w:t xml:space="preserve">.- Las Perspectivas económicas para 2026 y sus principales variables han congregado hoy a más de cien personas en la jornada organizada por CEOE Aragón y CaixaBank. El director </w:t>
      </w:r>
      <w:r w:rsidRPr="00BD6D51">
        <w:rPr>
          <w:rFonts w:ascii="Arial" w:eastAsiaTheme="minorEastAsia" w:hAnsi="Arial" w:cs="Arial"/>
          <w:color w:val="000000"/>
          <w:lang w:val="es-ES_tradnl" w:eastAsia="es-ES"/>
        </w:rPr>
        <w:t>general del</w:t>
      </w:r>
      <w:r w:rsidRPr="00BD6D51">
        <w:rPr>
          <w:rFonts w:ascii="Arial" w:eastAsiaTheme="minorEastAsia" w:hAnsi="Arial" w:cs="Arial"/>
          <w:color w:val="000000"/>
          <w:lang w:val="es-ES_tradnl" w:eastAsia="es-ES"/>
        </w:rPr>
        <w:t xml:space="preserve"> Instituto de Estudios Económicos (IEE), Gregorio Izquierdo, y Luis </w:t>
      </w:r>
      <w:proofErr w:type="spellStart"/>
      <w:r w:rsidRPr="00BD6D51">
        <w:rPr>
          <w:rFonts w:ascii="Arial" w:eastAsiaTheme="minorEastAsia" w:hAnsi="Arial" w:cs="Arial"/>
          <w:color w:val="000000"/>
          <w:lang w:val="es-ES_tradnl" w:eastAsia="es-ES"/>
        </w:rPr>
        <w:t>Pinheiro</w:t>
      </w:r>
      <w:proofErr w:type="spellEnd"/>
      <w:r w:rsidRPr="00BD6D51">
        <w:rPr>
          <w:rFonts w:ascii="Arial" w:eastAsiaTheme="minorEastAsia" w:hAnsi="Arial" w:cs="Arial"/>
          <w:color w:val="000000"/>
          <w:lang w:val="es-ES_tradnl" w:eastAsia="es-ES"/>
        </w:rPr>
        <w:t xml:space="preserve"> de Matos, economista de la Dirección de Planificación Estratégica y Estudios de CaixaBank Research, han protagonizado la sesión celebrada en la sede de la Confederación.</w:t>
      </w:r>
    </w:p>
    <w:p w14:paraId="296EB51A" w14:textId="3BC03074" w:rsidR="00BD6D51" w:rsidRPr="00BD6D51" w:rsidRDefault="00BD6D51" w:rsidP="00BD6D51">
      <w:pPr>
        <w:shd w:val="clear" w:color="auto" w:fill="FFFFFF"/>
        <w:spacing w:before="300" w:after="0" w:line="288" w:lineRule="auto"/>
        <w:jc w:val="both"/>
        <w:outlineLvl w:val="0"/>
        <w:rPr>
          <w:rFonts w:ascii="Arial" w:eastAsiaTheme="minorEastAsia" w:hAnsi="Arial" w:cs="Arial"/>
          <w:color w:val="000000"/>
          <w:lang w:val="es-ES_tradnl" w:eastAsia="es-ES"/>
        </w:rPr>
      </w:pPr>
      <w:r w:rsidRPr="00BD6D51">
        <w:rPr>
          <w:rFonts w:ascii="Arial" w:eastAsiaTheme="minorEastAsia" w:hAnsi="Arial" w:cs="Arial"/>
          <w:color w:val="000000"/>
          <w:lang w:val="es-ES_tradnl" w:eastAsia="es-ES"/>
        </w:rPr>
        <w:t>La sesión ha sido inaugurada</w:t>
      </w:r>
      <w:r>
        <w:rPr>
          <w:rFonts w:ascii="Arial" w:eastAsiaTheme="minorEastAsia" w:hAnsi="Arial" w:cs="Arial"/>
          <w:color w:val="000000"/>
          <w:lang w:val="es-ES_tradnl" w:eastAsia="es-ES"/>
        </w:rPr>
        <w:t xml:space="preserve"> por</w:t>
      </w:r>
      <w:r w:rsidRPr="00BD6D51">
        <w:rPr>
          <w:rFonts w:ascii="Arial" w:eastAsiaTheme="minorEastAsia" w:hAnsi="Arial" w:cs="Arial"/>
          <w:color w:val="000000"/>
          <w:lang w:val="es-ES_tradnl" w:eastAsia="es-ES"/>
        </w:rPr>
        <w:t xml:space="preserve"> la directora de la Territorial Ebro de CaixaBank, Isabel Moreno </w:t>
      </w:r>
      <w:r>
        <w:rPr>
          <w:rFonts w:ascii="Arial" w:eastAsiaTheme="minorEastAsia" w:hAnsi="Arial" w:cs="Arial"/>
          <w:color w:val="000000"/>
          <w:lang w:val="es-ES_tradnl" w:eastAsia="es-ES"/>
        </w:rPr>
        <w:t xml:space="preserve">y </w:t>
      </w:r>
      <w:r w:rsidRPr="00BD6D51">
        <w:rPr>
          <w:rFonts w:ascii="Arial" w:eastAsiaTheme="minorEastAsia" w:hAnsi="Arial" w:cs="Arial"/>
          <w:color w:val="000000"/>
          <w:lang w:val="es-ES_tradnl" w:eastAsia="es-ES"/>
        </w:rPr>
        <w:t>el</w:t>
      </w:r>
      <w:r w:rsidRPr="00BD6D51">
        <w:rPr>
          <w:rFonts w:ascii="Arial" w:eastAsiaTheme="minorEastAsia" w:hAnsi="Arial" w:cs="Arial"/>
          <w:color w:val="000000"/>
          <w:lang w:val="es-ES_tradnl" w:eastAsia="es-ES"/>
        </w:rPr>
        <w:t xml:space="preserve"> presidente de CEOE Aragón, Benito </w:t>
      </w:r>
      <w:proofErr w:type="spellStart"/>
      <w:r w:rsidRPr="00BD6D51">
        <w:rPr>
          <w:rFonts w:ascii="Arial" w:eastAsiaTheme="minorEastAsia" w:hAnsi="Arial" w:cs="Arial"/>
          <w:color w:val="000000"/>
          <w:lang w:val="es-ES_tradnl" w:eastAsia="es-ES"/>
        </w:rPr>
        <w:t>Tesier</w:t>
      </w:r>
      <w:proofErr w:type="spellEnd"/>
      <w:r w:rsidRPr="00BD6D51">
        <w:rPr>
          <w:rFonts w:ascii="Arial" w:eastAsiaTheme="minorEastAsia" w:hAnsi="Arial" w:cs="Arial"/>
          <w:color w:val="000000"/>
          <w:lang w:val="es-ES_tradnl" w:eastAsia="es-ES"/>
        </w:rPr>
        <w:t>, y moderada por</w:t>
      </w:r>
      <w:r>
        <w:rPr>
          <w:rFonts w:ascii="Arial" w:eastAsiaTheme="minorEastAsia" w:hAnsi="Arial" w:cs="Arial"/>
          <w:color w:val="000000"/>
          <w:lang w:val="es-ES_tradnl" w:eastAsia="es-ES"/>
        </w:rPr>
        <w:t xml:space="preserve"> el</w:t>
      </w:r>
      <w:r w:rsidRPr="00BD6D51">
        <w:rPr>
          <w:rFonts w:ascii="Arial" w:eastAsiaTheme="minorEastAsia" w:hAnsi="Arial" w:cs="Arial"/>
          <w:color w:val="000000"/>
          <w:lang w:val="es-ES_tradnl" w:eastAsia="es-ES"/>
        </w:rPr>
        <w:t xml:space="preserve"> director comercial de Empresas</w:t>
      </w:r>
      <w:r>
        <w:rPr>
          <w:rFonts w:ascii="Arial" w:eastAsiaTheme="minorEastAsia" w:hAnsi="Arial" w:cs="Arial"/>
          <w:color w:val="000000"/>
          <w:lang w:val="es-ES_tradnl" w:eastAsia="es-ES"/>
        </w:rPr>
        <w:t xml:space="preserve"> de CaixaBank en la Territorial Ebro</w:t>
      </w:r>
      <w:r w:rsidRPr="00BD6D51">
        <w:rPr>
          <w:rFonts w:ascii="Arial" w:eastAsiaTheme="minorEastAsia" w:hAnsi="Arial" w:cs="Arial"/>
          <w:color w:val="000000"/>
          <w:lang w:val="es-ES_tradnl" w:eastAsia="es-ES"/>
        </w:rPr>
        <w:t>, Carlos Sánchez.</w:t>
      </w:r>
    </w:p>
    <w:p w14:paraId="17265DAC" w14:textId="5E5EB38A" w:rsidR="00BD6D51" w:rsidRPr="00BD6D51" w:rsidRDefault="00BD6D51" w:rsidP="00BD6D51">
      <w:pPr>
        <w:shd w:val="clear" w:color="auto" w:fill="FFFFFF"/>
        <w:spacing w:before="300" w:after="0" w:line="288" w:lineRule="auto"/>
        <w:jc w:val="both"/>
        <w:outlineLvl w:val="0"/>
        <w:rPr>
          <w:rFonts w:ascii="Arial" w:eastAsiaTheme="minorEastAsia" w:hAnsi="Arial" w:cs="Arial"/>
          <w:color w:val="000000"/>
          <w:lang w:val="es-ES_tradnl" w:eastAsia="es-ES"/>
        </w:rPr>
      </w:pPr>
      <w:r w:rsidRPr="00BD6D51">
        <w:rPr>
          <w:rFonts w:ascii="Arial" w:eastAsiaTheme="minorEastAsia" w:hAnsi="Arial" w:cs="Arial"/>
          <w:color w:val="000000"/>
          <w:lang w:val="es-ES_tradnl" w:eastAsia="es-ES"/>
        </w:rPr>
        <w:t xml:space="preserve">La economía española continuará creciendo más del 2% en 2026, aunque con cierta desaceleración, y Aragón lo hará por encima de la media nacional. Así lo ha señalado el director general del </w:t>
      </w:r>
      <w:r w:rsidRPr="00BD6D51">
        <w:rPr>
          <w:rFonts w:ascii="Arial" w:eastAsiaTheme="minorEastAsia" w:hAnsi="Arial" w:cs="Arial"/>
          <w:color w:val="000000"/>
          <w:lang w:val="es-ES_tradnl" w:eastAsia="es-ES"/>
        </w:rPr>
        <w:t>IEE, Gregorio</w:t>
      </w:r>
      <w:r w:rsidRPr="00BD6D51">
        <w:rPr>
          <w:rFonts w:ascii="Arial" w:eastAsiaTheme="minorEastAsia" w:hAnsi="Arial" w:cs="Arial"/>
          <w:color w:val="000000"/>
          <w:lang w:val="es-ES_tradnl" w:eastAsia="es-ES"/>
        </w:rPr>
        <w:t xml:space="preserve"> Izquierdo, que ha señalado el descenso del endeudamiento de empresas y ciudadanos, y la alta tasa de ahorro, frente a la muy elevada deuda pública, entre los factores positivos de la economía nacional y autonómica.</w:t>
      </w:r>
    </w:p>
    <w:p w14:paraId="35E43DF1" w14:textId="675C82CD" w:rsidR="00BD6D51" w:rsidRPr="00BD6D51" w:rsidRDefault="00BD6D51" w:rsidP="00BD6D51">
      <w:pPr>
        <w:shd w:val="clear" w:color="auto" w:fill="FFFFFF"/>
        <w:spacing w:before="300" w:after="0" w:line="288" w:lineRule="auto"/>
        <w:jc w:val="both"/>
        <w:outlineLvl w:val="0"/>
        <w:rPr>
          <w:rFonts w:ascii="Arial" w:eastAsiaTheme="minorEastAsia" w:hAnsi="Arial" w:cs="Arial"/>
          <w:color w:val="000000"/>
          <w:lang w:val="es-ES_tradnl" w:eastAsia="es-ES"/>
        </w:rPr>
      </w:pPr>
      <w:r w:rsidRPr="00BD6D51">
        <w:rPr>
          <w:rFonts w:ascii="Arial" w:eastAsiaTheme="minorEastAsia" w:hAnsi="Arial" w:cs="Arial"/>
          <w:color w:val="000000"/>
          <w:lang w:val="es-ES_tradnl" w:eastAsia="es-ES"/>
        </w:rPr>
        <w:t xml:space="preserve">Por el contrario, la complejidad regulatoria y burocrática, la presión fiscal y la necesidad de acometer </w:t>
      </w:r>
      <w:r w:rsidRPr="00BD6D51">
        <w:rPr>
          <w:rFonts w:ascii="Arial" w:eastAsiaTheme="minorEastAsia" w:hAnsi="Arial" w:cs="Arial"/>
          <w:color w:val="000000"/>
          <w:lang w:val="es-ES_tradnl" w:eastAsia="es-ES"/>
        </w:rPr>
        <w:t>reformas importantes</w:t>
      </w:r>
      <w:r w:rsidRPr="00BD6D51">
        <w:rPr>
          <w:rFonts w:ascii="Arial" w:eastAsiaTheme="minorEastAsia" w:hAnsi="Arial" w:cs="Arial"/>
          <w:color w:val="000000"/>
          <w:lang w:val="es-ES_tradnl" w:eastAsia="es-ES"/>
        </w:rPr>
        <w:t xml:space="preserve">, empezando por la presentación de Presupuestos, están entre los principales factores negativos. </w:t>
      </w:r>
    </w:p>
    <w:p w14:paraId="102911B5" w14:textId="77777777" w:rsidR="00BD6D51" w:rsidRPr="00BD6D51" w:rsidRDefault="00BD6D51" w:rsidP="00BD6D51">
      <w:pPr>
        <w:pStyle w:val="xmsonormal"/>
        <w:shd w:val="clear" w:color="auto" w:fill="FFFFFF"/>
        <w:spacing w:before="0" w:beforeAutospacing="0" w:after="0" w:afterAutospacing="0"/>
        <w:rPr>
          <w:rFonts w:ascii="Arial" w:eastAsiaTheme="minorEastAsia" w:hAnsi="Arial" w:cs="Arial"/>
          <w:color w:val="000000"/>
          <w:sz w:val="22"/>
          <w:szCs w:val="22"/>
          <w:lang w:val="es-ES_tradnl"/>
        </w:rPr>
      </w:pPr>
    </w:p>
    <w:p w14:paraId="723953BC" w14:textId="382AADF9" w:rsidR="00BD6D51" w:rsidRPr="00BD6D51" w:rsidRDefault="00BD6D51" w:rsidP="00BD6D51">
      <w:pPr>
        <w:pStyle w:val="xmsonormal"/>
        <w:shd w:val="clear" w:color="auto" w:fill="FFFFFF"/>
        <w:spacing w:before="0" w:beforeAutospacing="0" w:after="0" w:afterAutospacing="0" w:line="276" w:lineRule="auto"/>
        <w:jc w:val="both"/>
        <w:rPr>
          <w:rFonts w:ascii="Arial" w:eastAsiaTheme="minorEastAsia" w:hAnsi="Arial" w:cs="Arial"/>
          <w:color w:val="000000"/>
          <w:sz w:val="22"/>
          <w:szCs w:val="22"/>
          <w:lang w:val="es-ES_tradnl"/>
        </w:rPr>
      </w:pPr>
      <w:r w:rsidRPr="00BD6D51">
        <w:rPr>
          <w:rFonts w:ascii="Arial" w:eastAsiaTheme="minorEastAsia" w:hAnsi="Arial" w:cs="Arial"/>
          <w:color w:val="000000"/>
          <w:sz w:val="22"/>
          <w:szCs w:val="22"/>
          <w:lang w:val="es-ES_tradnl"/>
        </w:rPr>
        <w:t xml:space="preserve">Luis </w:t>
      </w:r>
      <w:proofErr w:type="spellStart"/>
      <w:r w:rsidRPr="00BD6D51">
        <w:rPr>
          <w:rFonts w:ascii="Arial" w:eastAsiaTheme="minorEastAsia" w:hAnsi="Arial" w:cs="Arial"/>
          <w:color w:val="000000"/>
          <w:sz w:val="22"/>
          <w:szCs w:val="22"/>
          <w:lang w:val="es-ES_tradnl"/>
        </w:rPr>
        <w:t>Pinheiro</w:t>
      </w:r>
      <w:proofErr w:type="spellEnd"/>
      <w:r w:rsidRPr="00BD6D51">
        <w:rPr>
          <w:rFonts w:ascii="Arial" w:eastAsiaTheme="minorEastAsia" w:hAnsi="Arial" w:cs="Arial"/>
          <w:color w:val="000000"/>
          <w:sz w:val="22"/>
          <w:szCs w:val="22"/>
          <w:lang w:val="es-ES_tradnl"/>
        </w:rPr>
        <w:t xml:space="preserve"> de Matos se ha centrado en el entorno internacional, resaltando que “la reaparición de tensiones geopolíticas está elevando los riesgos para la economía mundial. A corto plazo, se centran en nuevas tensiones comerciales, posibles interrupciones en las cadenas de suministro y un deterioro de la confianza empresarial”. La proliferación de focos de tensión (Venezuela, Groenlandia, Irán) y una postura “más </w:t>
      </w:r>
      <w:proofErr w:type="spellStart"/>
      <w:r w:rsidRPr="00BD6D51">
        <w:rPr>
          <w:rFonts w:ascii="Arial" w:eastAsiaTheme="minorEastAsia" w:hAnsi="Arial" w:cs="Arial"/>
          <w:color w:val="000000"/>
          <w:sz w:val="22"/>
          <w:szCs w:val="22"/>
          <w:lang w:val="es-ES_tradnl"/>
        </w:rPr>
        <w:t>confrontacional</w:t>
      </w:r>
      <w:proofErr w:type="spellEnd"/>
      <w:r w:rsidRPr="00BD6D51">
        <w:rPr>
          <w:rFonts w:ascii="Arial" w:eastAsiaTheme="minorEastAsia" w:hAnsi="Arial" w:cs="Arial"/>
          <w:color w:val="000000"/>
          <w:sz w:val="22"/>
          <w:szCs w:val="22"/>
          <w:lang w:val="es-ES_tradnl"/>
        </w:rPr>
        <w:t xml:space="preserve"> de </w:t>
      </w:r>
      <w:proofErr w:type="gramStart"/>
      <w:r w:rsidRPr="00BD6D51">
        <w:rPr>
          <w:rFonts w:ascii="Arial" w:eastAsiaTheme="minorEastAsia" w:hAnsi="Arial" w:cs="Arial"/>
          <w:color w:val="000000"/>
          <w:sz w:val="22"/>
          <w:szCs w:val="22"/>
          <w:lang w:val="es-ES_tradnl"/>
        </w:rPr>
        <w:t>EEUU</w:t>
      </w:r>
      <w:proofErr w:type="gramEnd"/>
      <w:r w:rsidRPr="00BD6D51">
        <w:rPr>
          <w:rFonts w:ascii="Arial" w:eastAsiaTheme="minorEastAsia" w:hAnsi="Arial" w:cs="Arial"/>
          <w:color w:val="000000"/>
          <w:sz w:val="22"/>
          <w:szCs w:val="22"/>
          <w:lang w:val="es-ES_tradnl"/>
        </w:rPr>
        <w:t xml:space="preserve"> alimentan dudas sobre si el orden internacional basado en reglas está dando paso a una dinámica más unilateral, mientras China redefine su papel en el tablero global”, ha señalado.</w:t>
      </w:r>
    </w:p>
    <w:p w14:paraId="1C4E4CAF" w14:textId="77777777" w:rsidR="00BD6D51" w:rsidRPr="00BD6D51" w:rsidRDefault="00BD6D51" w:rsidP="00BD6D51">
      <w:pPr>
        <w:pStyle w:val="xmsonormal"/>
        <w:shd w:val="clear" w:color="auto" w:fill="FFFFFF"/>
        <w:spacing w:before="0" w:beforeAutospacing="0" w:after="0" w:afterAutospacing="0" w:line="276" w:lineRule="auto"/>
        <w:jc w:val="both"/>
        <w:rPr>
          <w:rFonts w:ascii="Arial" w:eastAsiaTheme="minorEastAsia" w:hAnsi="Arial" w:cs="Arial"/>
          <w:color w:val="000000"/>
          <w:sz w:val="22"/>
          <w:szCs w:val="22"/>
          <w:lang w:val="es-ES_tradnl"/>
        </w:rPr>
      </w:pPr>
    </w:p>
    <w:p w14:paraId="02E09E7C" w14:textId="77777777" w:rsidR="00BD6D51" w:rsidRPr="00BD6D51" w:rsidRDefault="00BD6D51" w:rsidP="00BD6D51">
      <w:pPr>
        <w:pStyle w:val="xmsonormal"/>
        <w:shd w:val="clear" w:color="auto" w:fill="FFFFFF"/>
        <w:spacing w:before="0" w:beforeAutospacing="0" w:after="0" w:afterAutospacing="0" w:line="276" w:lineRule="auto"/>
        <w:jc w:val="both"/>
        <w:rPr>
          <w:rFonts w:ascii="Arial" w:eastAsiaTheme="minorEastAsia" w:hAnsi="Arial" w:cs="Arial"/>
          <w:color w:val="000000"/>
          <w:sz w:val="22"/>
          <w:szCs w:val="22"/>
          <w:lang w:val="es-ES_tradnl"/>
        </w:rPr>
      </w:pPr>
      <w:r w:rsidRPr="00BD6D51">
        <w:rPr>
          <w:rFonts w:ascii="Arial" w:eastAsiaTheme="minorEastAsia" w:hAnsi="Arial" w:cs="Arial"/>
          <w:color w:val="000000"/>
          <w:sz w:val="22"/>
          <w:szCs w:val="22"/>
          <w:lang w:val="es-ES_tradnl"/>
        </w:rPr>
        <w:t xml:space="preserve">No obstante, la economía mundial “ha mostrado fortaleza” y los datos de cuarto trimestre 2025 apuntan a “un cierre sólido del año en </w:t>
      </w:r>
      <w:proofErr w:type="gramStart"/>
      <w:r w:rsidRPr="00BD6D51">
        <w:rPr>
          <w:rFonts w:ascii="Arial" w:eastAsiaTheme="minorEastAsia" w:hAnsi="Arial" w:cs="Arial"/>
          <w:color w:val="000000"/>
          <w:sz w:val="22"/>
          <w:szCs w:val="22"/>
          <w:lang w:val="es-ES_tradnl"/>
        </w:rPr>
        <w:t>EEUU</w:t>
      </w:r>
      <w:proofErr w:type="gramEnd"/>
      <w:r w:rsidRPr="00BD6D51">
        <w:rPr>
          <w:rFonts w:ascii="Arial" w:eastAsiaTheme="minorEastAsia" w:hAnsi="Arial" w:cs="Arial"/>
          <w:color w:val="000000"/>
          <w:sz w:val="22"/>
          <w:szCs w:val="22"/>
          <w:lang w:val="es-ES_tradnl"/>
        </w:rPr>
        <w:t>, la Eurozona y China”, aunque persisten riesgos a la baja como “presiones fiscales en la UE, el enfriamiento del mercado laboral en EEUU y la debilidad de la demanda interna en China”.</w:t>
      </w:r>
    </w:p>
    <w:p w14:paraId="7E2CA467" w14:textId="77777777" w:rsidR="00BD6D51" w:rsidRPr="00BD6D51" w:rsidRDefault="00BD6D51" w:rsidP="00BD6D51">
      <w:pPr>
        <w:pStyle w:val="xmsonormal"/>
        <w:shd w:val="clear" w:color="auto" w:fill="FFFFFF"/>
        <w:spacing w:before="0" w:beforeAutospacing="0" w:after="0" w:afterAutospacing="0" w:line="276" w:lineRule="auto"/>
        <w:jc w:val="both"/>
        <w:rPr>
          <w:rFonts w:ascii="Arial" w:eastAsiaTheme="minorEastAsia" w:hAnsi="Arial" w:cs="Arial"/>
          <w:color w:val="000000"/>
          <w:sz w:val="22"/>
          <w:szCs w:val="22"/>
          <w:lang w:val="es-ES_tradnl"/>
        </w:rPr>
      </w:pPr>
      <w:r w:rsidRPr="00BD6D51">
        <w:rPr>
          <w:rFonts w:ascii="Arial" w:eastAsiaTheme="minorEastAsia" w:hAnsi="Arial" w:cs="Arial"/>
          <w:color w:val="000000"/>
          <w:sz w:val="22"/>
          <w:szCs w:val="22"/>
          <w:lang w:val="es-ES_tradnl"/>
        </w:rPr>
        <w:t> </w:t>
      </w:r>
    </w:p>
    <w:p w14:paraId="11AC0DD1" w14:textId="77777777" w:rsidR="00BD6D51" w:rsidRPr="00BD6D51" w:rsidRDefault="00BD6D51" w:rsidP="00BD6D51">
      <w:pPr>
        <w:pStyle w:val="xmsonormal"/>
        <w:shd w:val="clear" w:color="auto" w:fill="FFFFFF"/>
        <w:spacing w:before="0" w:beforeAutospacing="0" w:after="0" w:afterAutospacing="0" w:line="276" w:lineRule="auto"/>
        <w:jc w:val="both"/>
        <w:rPr>
          <w:rFonts w:ascii="Arial" w:eastAsiaTheme="minorEastAsia" w:hAnsi="Arial" w:cs="Arial"/>
          <w:color w:val="000000"/>
          <w:sz w:val="22"/>
          <w:szCs w:val="22"/>
          <w:lang w:val="es-ES_tradnl"/>
        </w:rPr>
      </w:pPr>
      <w:r w:rsidRPr="00BD6D51">
        <w:rPr>
          <w:rFonts w:ascii="Arial" w:eastAsiaTheme="minorEastAsia" w:hAnsi="Arial" w:cs="Arial"/>
          <w:color w:val="000000"/>
          <w:sz w:val="22"/>
          <w:szCs w:val="22"/>
          <w:lang w:val="es-ES_tradnl"/>
        </w:rPr>
        <w:t xml:space="preserve">Por otra parte, la inestabilidad en Oriente Medio sigue siendo un “importante riesgo alcista para el precio del petróleo, “de momento estable”. También los mercados financieros se han mantenido estables, pese a las tensiones, </w:t>
      </w:r>
      <w:proofErr w:type="gramStart"/>
      <w:r w:rsidRPr="00BD6D51">
        <w:rPr>
          <w:rFonts w:ascii="Arial" w:eastAsiaTheme="minorEastAsia" w:hAnsi="Arial" w:cs="Arial"/>
          <w:color w:val="000000"/>
          <w:sz w:val="22"/>
          <w:szCs w:val="22"/>
          <w:lang w:val="es-ES_tradnl"/>
        </w:rPr>
        <w:t>y  se</w:t>
      </w:r>
      <w:proofErr w:type="gramEnd"/>
      <w:r w:rsidRPr="00BD6D51">
        <w:rPr>
          <w:rFonts w:ascii="Arial" w:eastAsiaTheme="minorEastAsia" w:hAnsi="Arial" w:cs="Arial"/>
          <w:color w:val="000000"/>
          <w:sz w:val="22"/>
          <w:szCs w:val="22"/>
          <w:lang w:val="es-ES_tradnl"/>
        </w:rPr>
        <w:t xml:space="preserve"> esperan dos recortes de tipos de la Reserva Federal a lo largo de 2026, mientras que es probable que el BCE mantenga los tipos sin cambios durante todo el año.</w:t>
      </w:r>
    </w:p>
    <w:p w14:paraId="109AC1DA" w14:textId="77777777" w:rsidR="00BD6D51" w:rsidRPr="00BD6D51" w:rsidRDefault="00BD6D51" w:rsidP="00BD6D51">
      <w:pPr>
        <w:pStyle w:val="xmsonormal"/>
        <w:shd w:val="clear" w:color="auto" w:fill="FFFFFF"/>
        <w:spacing w:before="0" w:beforeAutospacing="0" w:after="0" w:afterAutospacing="0" w:line="276" w:lineRule="auto"/>
        <w:jc w:val="both"/>
        <w:rPr>
          <w:rFonts w:ascii="Arial" w:eastAsiaTheme="minorEastAsia" w:hAnsi="Arial" w:cs="Arial"/>
          <w:color w:val="000000"/>
          <w:sz w:val="22"/>
          <w:szCs w:val="22"/>
          <w:lang w:val="es-ES_tradnl"/>
        </w:rPr>
      </w:pPr>
    </w:p>
    <w:p w14:paraId="1C0B8125" w14:textId="77777777" w:rsidR="00BD6D51" w:rsidRPr="00BD6D51" w:rsidRDefault="00BD6D51" w:rsidP="00BD6D51">
      <w:pPr>
        <w:pStyle w:val="xmsonormal"/>
        <w:shd w:val="clear" w:color="auto" w:fill="FFFFFF"/>
        <w:spacing w:before="0" w:beforeAutospacing="0" w:after="0" w:afterAutospacing="0"/>
        <w:jc w:val="both"/>
        <w:rPr>
          <w:rFonts w:ascii="Arial" w:eastAsiaTheme="minorEastAsia" w:hAnsi="Arial" w:cs="Arial"/>
          <w:b/>
          <w:bCs/>
          <w:color w:val="000000"/>
          <w:sz w:val="22"/>
          <w:szCs w:val="22"/>
          <w:lang w:val="es-ES_tradnl"/>
        </w:rPr>
      </w:pPr>
      <w:r w:rsidRPr="00BD6D51">
        <w:rPr>
          <w:rFonts w:ascii="Arial" w:eastAsiaTheme="minorEastAsia" w:hAnsi="Arial" w:cs="Arial"/>
          <w:b/>
          <w:bCs/>
          <w:color w:val="000000"/>
          <w:sz w:val="22"/>
          <w:szCs w:val="22"/>
          <w:lang w:val="es-ES_tradnl"/>
        </w:rPr>
        <w:t xml:space="preserve">Centrándose más en Aragón, </w:t>
      </w:r>
    </w:p>
    <w:p w14:paraId="00661DB8" w14:textId="4B4BD3CD" w:rsidR="00BD6D51" w:rsidRPr="00BD6D51" w:rsidRDefault="00BD6D51" w:rsidP="00CA32C8">
      <w:pPr>
        <w:pStyle w:val="NormalWeb"/>
        <w:shd w:val="clear" w:color="auto" w:fill="FFFFFF"/>
        <w:spacing w:before="360" w:beforeAutospacing="0" w:after="0" w:afterAutospacing="0" w:line="276" w:lineRule="auto"/>
        <w:jc w:val="both"/>
        <w:rPr>
          <w:rFonts w:ascii="Arial" w:eastAsiaTheme="minorEastAsia" w:hAnsi="Arial" w:cs="Arial"/>
          <w:color w:val="000000"/>
          <w:sz w:val="22"/>
          <w:szCs w:val="22"/>
          <w:lang w:val="es-ES_tradnl"/>
        </w:rPr>
      </w:pPr>
      <w:r w:rsidRPr="00BD6D51">
        <w:rPr>
          <w:rFonts w:ascii="Arial" w:eastAsiaTheme="minorEastAsia" w:hAnsi="Arial" w:cs="Arial"/>
          <w:color w:val="000000"/>
          <w:sz w:val="22"/>
          <w:szCs w:val="22"/>
          <w:lang w:val="es-ES_tradnl"/>
        </w:rPr>
        <w:t xml:space="preserve">Isabel Moreno y Benito </w:t>
      </w:r>
      <w:proofErr w:type="spellStart"/>
      <w:r w:rsidRPr="00BD6D51">
        <w:rPr>
          <w:rFonts w:ascii="Arial" w:eastAsiaTheme="minorEastAsia" w:hAnsi="Arial" w:cs="Arial"/>
          <w:color w:val="000000"/>
          <w:sz w:val="22"/>
          <w:szCs w:val="22"/>
          <w:lang w:val="es-ES_tradnl"/>
        </w:rPr>
        <w:t>Tesier</w:t>
      </w:r>
      <w:proofErr w:type="spellEnd"/>
      <w:r w:rsidRPr="00BD6D51">
        <w:rPr>
          <w:rFonts w:ascii="Arial" w:eastAsiaTheme="minorEastAsia" w:hAnsi="Arial" w:cs="Arial"/>
          <w:color w:val="000000"/>
          <w:sz w:val="22"/>
          <w:szCs w:val="22"/>
          <w:lang w:val="es-ES_tradnl"/>
        </w:rPr>
        <w:t xml:space="preserve"> han puesto en valor la colaboración entre CEOE Aragón y CaixaBank para organizar jornadas dirigidas al tejido productivo aragonés, así como iniciativas consolidadas como los Premios Impulsa Liderazgo Femenino o los ciclos formativos en materia financiera, que se desarrollan anualmente dentro de los convenios Impulsa Aragón entre ambas entidades.</w:t>
      </w:r>
    </w:p>
    <w:p w14:paraId="3269F4DB" w14:textId="77777777" w:rsidR="002258B7" w:rsidRPr="002258B7" w:rsidRDefault="00BD6D51" w:rsidP="00CA32C8">
      <w:pPr>
        <w:pStyle w:val="NormalWeb"/>
        <w:spacing w:line="276" w:lineRule="auto"/>
        <w:jc w:val="both"/>
        <w:rPr>
          <w:rFonts w:ascii="Arial" w:eastAsiaTheme="minorEastAsia" w:hAnsi="Arial" w:cs="Arial"/>
          <w:color w:val="000000"/>
          <w:sz w:val="22"/>
          <w:szCs w:val="22"/>
          <w:lang w:val="es-ES_tradnl"/>
        </w:rPr>
      </w:pPr>
      <w:r w:rsidRPr="002258B7">
        <w:rPr>
          <w:rFonts w:ascii="Arial" w:eastAsiaTheme="minorEastAsia" w:hAnsi="Arial" w:cs="Arial"/>
          <w:color w:val="000000"/>
          <w:sz w:val="22"/>
          <w:szCs w:val="22"/>
          <w:lang w:val="es-ES_tradnl"/>
        </w:rPr>
        <w:t xml:space="preserve">A lo largo de estos años, el Plan Impulsa Aragón se ha convertido en un motor de dinamización económica, impulsando proyectos que fomentan la competitividad, la innovación y el crecimiento sostenible de las compañías de la región. </w:t>
      </w:r>
      <w:r w:rsidR="002258B7" w:rsidRPr="002258B7">
        <w:rPr>
          <w:rFonts w:ascii="Arial" w:eastAsiaTheme="minorEastAsia" w:hAnsi="Arial" w:cs="Arial"/>
          <w:color w:val="000000"/>
          <w:sz w:val="22"/>
          <w:szCs w:val="22"/>
          <w:lang w:val="es-ES_tradnl"/>
        </w:rPr>
        <w:t>Cada edición evidencia el compromiso conjunto de CEOE Aragón y CaixaBank por acompañar a las empresas en sus retos presentes y futuros, ofreciendo análisis, apoyo especializado y herramientas financieras que contribuyan a impulsar nuevas inversiones, consolidar negocios y reforzar la capacidad de transformación del tejido productivo de Aragón.</w:t>
      </w:r>
    </w:p>
    <w:p w14:paraId="6E234D00" w14:textId="77777777" w:rsidR="00CA32C8" w:rsidRDefault="00CA32C8" w:rsidP="00CA32C8">
      <w:pPr>
        <w:pStyle w:val="NormalWeb"/>
        <w:spacing w:line="276" w:lineRule="auto"/>
        <w:jc w:val="both"/>
        <w:rPr>
          <w:rFonts w:asciiTheme="minorHAnsi" w:eastAsiaTheme="minorHAnsi" w:hAnsiTheme="minorHAnsi" w:cstheme="minorHAnsi"/>
          <w:iCs/>
          <w:sz w:val="26"/>
          <w:szCs w:val="26"/>
          <w:lang w:eastAsia="en-US"/>
        </w:rPr>
      </w:pPr>
    </w:p>
    <w:p w14:paraId="57220B4C" w14:textId="77777777" w:rsidR="00CA32C8" w:rsidRPr="00976FA9" w:rsidRDefault="00CA32C8" w:rsidP="00CA32C8">
      <w:pPr>
        <w:pStyle w:val="NormalWeb"/>
        <w:spacing w:line="276" w:lineRule="auto"/>
        <w:jc w:val="both"/>
        <w:rPr>
          <w:rFonts w:asciiTheme="minorHAnsi" w:eastAsiaTheme="minorHAnsi" w:hAnsiTheme="minorHAnsi" w:cstheme="minorHAnsi"/>
          <w:iCs/>
          <w:sz w:val="26"/>
          <w:szCs w:val="26"/>
          <w:lang w:eastAsia="en-US"/>
        </w:rPr>
      </w:pPr>
    </w:p>
    <w:p w14:paraId="688ED4F0" w14:textId="77777777" w:rsidR="00BD6D51" w:rsidRPr="00BD6D51" w:rsidRDefault="00BD6D51" w:rsidP="00CA32C8">
      <w:pPr>
        <w:pStyle w:val="NormalWeb"/>
        <w:shd w:val="clear" w:color="auto" w:fill="FFFFFF"/>
        <w:spacing w:before="360" w:beforeAutospacing="0" w:after="0" w:afterAutospacing="0" w:line="276" w:lineRule="auto"/>
        <w:jc w:val="both"/>
        <w:rPr>
          <w:rFonts w:ascii="Arial" w:eastAsiaTheme="minorEastAsia" w:hAnsi="Arial" w:cs="Arial"/>
          <w:color w:val="000000"/>
          <w:sz w:val="22"/>
          <w:szCs w:val="22"/>
        </w:rPr>
      </w:pPr>
    </w:p>
    <w:p w14:paraId="5ED1148B" w14:textId="4EED6144" w:rsidR="00CA32C8" w:rsidRDefault="00CA32C8" w:rsidP="00CA32C8">
      <w:pPr>
        <w:pStyle w:val="paragraph"/>
        <w:spacing w:before="0" w:beforeAutospacing="0" w:after="0" w:afterAutospacing="0" w:line="276" w:lineRule="auto"/>
        <w:jc w:val="both"/>
        <w:textAlignment w:val="baseline"/>
        <w:rPr>
          <w:rStyle w:val="eop"/>
          <w:rFonts w:ascii="Arial" w:hAnsi="Arial" w:cs="Arial"/>
          <w:color w:val="000000"/>
          <w:sz w:val="22"/>
          <w:szCs w:val="22"/>
        </w:rPr>
      </w:pPr>
      <w:r>
        <w:rPr>
          <w:rStyle w:val="normaltextrun"/>
          <w:rFonts w:ascii="Arial" w:hAnsi="Arial" w:cs="Arial"/>
          <w:b/>
          <w:bCs/>
          <w:color w:val="000000"/>
          <w:sz w:val="22"/>
          <w:szCs w:val="22"/>
        </w:rPr>
        <w:t>CaixaBank, entidad de referencia para las empresas  </w:t>
      </w:r>
      <w:r>
        <w:rPr>
          <w:rStyle w:val="eop"/>
          <w:rFonts w:ascii="Arial" w:hAnsi="Arial" w:cs="Arial"/>
          <w:color w:val="000000"/>
          <w:sz w:val="22"/>
          <w:szCs w:val="22"/>
        </w:rPr>
        <w:t> </w:t>
      </w:r>
    </w:p>
    <w:p w14:paraId="2BCD3F97" w14:textId="77777777" w:rsidR="00CA32C8" w:rsidRDefault="00CA32C8" w:rsidP="00CA32C8">
      <w:pPr>
        <w:pStyle w:val="paragraph"/>
        <w:spacing w:before="0" w:beforeAutospacing="0" w:after="0" w:afterAutospacing="0" w:line="276" w:lineRule="auto"/>
        <w:jc w:val="both"/>
        <w:textAlignment w:val="baseline"/>
        <w:rPr>
          <w:rFonts w:ascii="Segoe UI" w:hAnsi="Segoe UI" w:cs="Segoe UI"/>
          <w:color w:val="000000"/>
          <w:sz w:val="18"/>
          <w:szCs w:val="18"/>
        </w:rPr>
      </w:pPr>
    </w:p>
    <w:p w14:paraId="160DF02A" w14:textId="77777777" w:rsidR="00CA32C8" w:rsidRDefault="00CA32C8" w:rsidP="00CA32C8">
      <w:pPr>
        <w:pStyle w:val="paragraph"/>
        <w:spacing w:before="0" w:beforeAutospacing="0" w:after="0" w:afterAutospacing="0" w:line="276" w:lineRule="auto"/>
        <w:jc w:val="both"/>
        <w:textAlignment w:val="baseline"/>
        <w:rPr>
          <w:rStyle w:val="eop"/>
          <w:rFonts w:ascii="Arial" w:hAnsi="Arial" w:cs="Arial"/>
          <w:color w:val="000000"/>
          <w:sz w:val="22"/>
          <w:szCs w:val="22"/>
        </w:rPr>
      </w:pPr>
      <w:r>
        <w:rPr>
          <w:rStyle w:val="normaltextrun"/>
          <w:rFonts w:ascii="Arial" w:hAnsi="Arial" w:cs="Arial"/>
          <w:color w:val="000000"/>
          <w:sz w:val="22"/>
          <w:szCs w:val="22"/>
        </w:rPr>
        <w:t>CaixaBank es la entidad de referencia para empresas en España. Los clientes de la entidad financiera se benefician de un modelo de especialización desplegado desde sus 214 centros de empresa repartidos por toda la geografía española, en los que trabajan más de 2.300 profesionales altamente cualificados y con una sólida reputación en el asesoramiento empresarial. </w:t>
      </w:r>
      <w:r>
        <w:rPr>
          <w:rStyle w:val="eop"/>
          <w:rFonts w:ascii="Arial" w:hAnsi="Arial" w:cs="Arial"/>
          <w:color w:val="000000"/>
          <w:sz w:val="22"/>
          <w:szCs w:val="22"/>
        </w:rPr>
        <w:t> </w:t>
      </w:r>
    </w:p>
    <w:p w14:paraId="233B7C1A" w14:textId="77777777" w:rsidR="00CA32C8" w:rsidRDefault="00CA32C8" w:rsidP="00CA32C8">
      <w:pPr>
        <w:pStyle w:val="paragraph"/>
        <w:spacing w:before="0" w:beforeAutospacing="0" w:after="0" w:afterAutospacing="0" w:line="276" w:lineRule="auto"/>
        <w:jc w:val="both"/>
        <w:textAlignment w:val="baseline"/>
        <w:rPr>
          <w:rFonts w:ascii="Segoe UI" w:hAnsi="Segoe UI" w:cs="Segoe UI"/>
          <w:color w:val="000000"/>
          <w:sz w:val="18"/>
          <w:szCs w:val="18"/>
        </w:rPr>
      </w:pPr>
    </w:p>
    <w:p w14:paraId="2FC342AA" w14:textId="77777777" w:rsidR="00CA32C8" w:rsidRDefault="00CA32C8" w:rsidP="00CA32C8">
      <w:pPr>
        <w:pStyle w:val="paragraph"/>
        <w:spacing w:before="0" w:beforeAutospacing="0" w:after="0" w:afterAutospacing="0" w:line="276" w:lineRule="auto"/>
        <w:jc w:val="both"/>
        <w:textAlignment w:val="baseline"/>
        <w:rPr>
          <w:rStyle w:val="eop"/>
          <w:rFonts w:ascii="Arial" w:hAnsi="Arial" w:cs="Arial"/>
          <w:color w:val="000000"/>
          <w:sz w:val="22"/>
          <w:szCs w:val="22"/>
        </w:rPr>
      </w:pPr>
      <w:r>
        <w:rPr>
          <w:rStyle w:val="normaltextrun"/>
          <w:rFonts w:ascii="Arial" w:hAnsi="Arial" w:cs="Arial"/>
          <w:color w:val="000000"/>
          <w:sz w:val="22"/>
          <w:szCs w:val="22"/>
        </w:rPr>
        <w:t>La entidad cuenta con especialistas en financiación, comercio exterior, tesorería, turismo, negocio </w:t>
      </w:r>
      <w:r>
        <w:rPr>
          <w:rStyle w:val="normaltextrun"/>
          <w:rFonts w:ascii="Arial" w:hAnsi="Arial" w:cs="Arial"/>
          <w:sz w:val="22"/>
          <w:szCs w:val="22"/>
        </w:rPr>
        <w:t>inmobiliario y pymes, que ofrecen un </w:t>
      </w:r>
      <w:r>
        <w:rPr>
          <w:rStyle w:val="normaltextrun"/>
          <w:rFonts w:ascii="Arial" w:hAnsi="Arial" w:cs="Arial"/>
          <w:color w:val="000000"/>
          <w:sz w:val="22"/>
          <w:szCs w:val="22"/>
        </w:rPr>
        <w:t>servicio personalizado más allá de lo financiero para apoyar e impulsar al sector empresarial.</w:t>
      </w:r>
      <w:r>
        <w:rPr>
          <w:rStyle w:val="eop"/>
          <w:rFonts w:ascii="Arial" w:hAnsi="Arial" w:cs="Arial"/>
          <w:color w:val="000000"/>
          <w:sz w:val="22"/>
          <w:szCs w:val="22"/>
        </w:rPr>
        <w:t> </w:t>
      </w:r>
    </w:p>
    <w:p w14:paraId="03BF0D18" w14:textId="77777777" w:rsidR="00CA32C8" w:rsidRDefault="00CA32C8" w:rsidP="00CA32C8">
      <w:pPr>
        <w:pStyle w:val="paragraph"/>
        <w:spacing w:before="0" w:beforeAutospacing="0" w:after="0" w:afterAutospacing="0" w:line="276" w:lineRule="auto"/>
        <w:jc w:val="both"/>
        <w:textAlignment w:val="baseline"/>
        <w:rPr>
          <w:rFonts w:ascii="Segoe UI" w:hAnsi="Segoe UI" w:cs="Segoe UI"/>
          <w:color w:val="000000"/>
          <w:sz w:val="18"/>
          <w:szCs w:val="18"/>
        </w:rPr>
      </w:pPr>
    </w:p>
    <w:p w14:paraId="70E15191" w14:textId="77777777" w:rsidR="00CA32C8" w:rsidRDefault="00CA32C8" w:rsidP="00CA32C8">
      <w:pPr>
        <w:pStyle w:val="paragraph"/>
        <w:spacing w:before="0" w:beforeAutospacing="0" w:after="0" w:afterAutospacing="0" w:line="276" w:lineRule="auto"/>
        <w:jc w:val="both"/>
        <w:textAlignment w:val="baseline"/>
        <w:rPr>
          <w:rStyle w:val="eop"/>
          <w:rFonts w:ascii="Arial" w:hAnsi="Arial" w:cs="Arial"/>
          <w:color w:val="000000"/>
          <w:sz w:val="22"/>
          <w:szCs w:val="22"/>
        </w:rPr>
      </w:pPr>
      <w:r>
        <w:rPr>
          <w:rStyle w:val="normaltextrun"/>
          <w:rFonts w:ascii="Arial" w:hAnsi="Arial" w:cs="Arial"/>
          <w:color w:val="000000"/>
          <w:sz w:val="22"/>
          <w:szCs w:val="22"/>
        </w:rPr>
        <w:t>En el ámbito internacional, CaixaBank apoya a sus clientes empresa con diversas soluciones operativas con acceso efectivo territorial a 156 mercados de distintos países y ofrece el mejor asesoramiento para las sus operaciones en el extranjero. La entidad presta servicio tanto a las pymes y microempresas que están iniciando sus actividades exportadoras como a las grandes corporaciones y grupos empresariales que afrontan proyectos internacionales más complejos. </w:t>
      </w:r>
      <w:r>
        <w:rPr>
          <w:rStyle w:val="eop"/>
          <w:rFonts w:ascii="Arial" w:hAnsi="Arial" w:cs="Arial"/>
          <w:color w:val="000000"/>
          <w:sz w:val="22"/>
          <w:szCs w:val="22"/>
        </w:rPr>
        <w:t> </w:t>
      </w:r>
    </w:p>
    <w:p w14:paraId="0B246960" w14:textId="77777777" w:rsidR="00CA32C8" w:rsidRDefault="00CA32C8" w:rsidP="00CA32C8">
      <w:pPr>
        <w:pStyle w:val="paragraph"/>
        <w:spacing w:before="0" w:beforeAutospacing="0" w:after="0" w:afterAutospacing="0" w:line="276" w:lineRule="auto"/>
        <w:jc w:val="both"/>
        <w:textAlignment w:val="baseline"/>
        <w:rPr>
          <w:rFonts w:ascii="Segoe UI" w:hAnsi="Segoe UI" w:cs="Segoe UI"/>
          <w:color w:val="000000"/>
          <w:sz w:val="18"/>
          <w:szCs w:val="18"/>
        </w:rPr>
      </w:pPr>
    </w:p>
    <w:p w14:paraId="0F031167" w14:textId="77777777" w:rsidR="00CA32C8" w:rsidRDefault="00CA32C8" w:rsidP="00CA32C8">
      <w:pPr>
        <w:pStyle w:val="paragraph"/>
        <w:spacing w:before="0" w:beforeAutospacing="0" w:after="0" w:afterAutospacing="0" w:line="276" w:lineRule="auto"/>
        <w:jc w:val="both"/>
        <w:textAlignment w:val="baseline"/>
        <w:rPr>
          <w:rFonts w:ascii="Segoe UI" w:hAnsi="Segoe UI" w:cs="Segoe UI"/>
          <w:color w:val="000000"/>
          <w:sz w:val="18"/>
          <w:szCs w:val="18"/>
        </w:rPr>
      </w:pPr>
      <w:r>
        <w:rPr>
          <w:rStyle w:val="normaltextrun"/>
          <w:rFonts w:ascii="Arial" w:hAnsi="Arial" w:cs="Arial"/>
          <w:sz w:val="22"/>
          <w:szCs w:val="22"/>
        </w:rPr>
        <w:t>Además, CaixaBank ha lanzado su nuevo Plan de Sostenibilidad trienal, que forma parte del nuevo Plan Estratégico 2025-2027, con el que movilizará 100.000 millones de euros en finanzas sostenibles para continuar avanzando hacia una economía más sostenible y favorecer el desarrollo económico y social de las personas.</w:t>
      </w:r>
      <w:r>
        <w:rPr>
          <w:rStyle w:val="eop"/>
          <w:rFonts w:ascii="Arial" w:hAnsi="Arial" w:cs="Arial"/>
          <w:sz w:val="22"/>
          <w:szCs w:val="22"/>
        </w:rPr>
        <w:t> </w:t>
      </w:r>
    </w:p>
    <w:p w14:paraId="682FE6EC" w14:textId="03BF5B49" w:rsidR="000F52A6" w:rsidRPr="00CA32C8" w:rsidRDefault="000F52A6" w:rsidP="00CA32C8">
      <w:pPr>
        <w:pStyle w:val="Prrafobsico"/>
        <w:suppressAutoHyphens/>
        <w:spacing w:line="276" w:lineRule="auto"/>
        <w:jc w:val="both"/>
        <w:rPr>
          <w:rFonts w:ascii="Arial" w:hAnsi="Arial" w:cs="Arial"/>
          <w:sz w:val="22"/>
          <w:szCs w:val="22"/>
          <w:lang w:val="es-ES"/>
        </w:rPr>
      </w:pPr>
    </w:p>
    <w:sectPr w:rsidR="000F52A6" w:rsidRPr="00CA32C8" w:rsidSect="008F0D64">
      <w:headerReference w:type="default" r:id="rId11"/>
      <w:footerReference w:type="default" r:id="rId12"/>
      <w:pgSz w:w="11906" w:h="16838"/>
      <w:pgMar w:top="2552" w:right="1701" w:bottom="2268" w:left="1701"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950B1" w14:textId="77777777" w:rsidR="004F5D1C" w:rsidRDefault="004F5D1C" w:rsidP="001E4FCE">
      <w:pPr>
        <w:spacing w:after="0" w:line="240" w:lineRule="auto"/>
      </w:pPr>
      <w:r>
        <w:separator/>
      </w:r>
    </w:p>
  </w:endnote>
  <w:endnote w:type="continuationSeparator" w:id="0">
    <w:p w14:paraId="1A4C24D4" w14:textId="77777777" w:rsidR="004F5D1C" w:rsidRDefault="004F5D1C" w:rsidP="001E4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80B65" w14:textId="0EFC32B5" w:rsidR="008F0D64" w:rsidRPr="00B60236" w:rsidRDefault="001C0D47">
    <w:pPr>
      <w:pStyle w:val="Piedepgina"/>
      <w:jc w:val="right"/>
      <w:rPr>
        <w:rFonts w:ascii="Arial" w:hAnsi="Arial" w:cs="Arial"/>
        <w:sz w:val="16"/>
        <w:szCs w:val="16"/>
      </w:rPr>
    </w:pPr>
    <w:r>
      <w:rPr>
        <w:noProof/>
      </w:rPr>
      <w:drawing>
        <wp:anchor distT="0" distB="0" distL="114300" distR="114300" simplePos="0" relativeHeight="251662336" behindDoc="1" locked="0" layoutInCell="1" allowOverlap="1" wp14:anchorId="1909964D" wp14:editId="566A7905">
          <wp:simplePos x="0" y="0"/>
          <wp:positionH relativeFrom="column">
            <wp:posOffset>1114425</wp:posOffset>
          </wp:positionH>
          <wp:positionV relativeFrom="paragraph">
            <wp:posOffset>-518160</wp:posOffset>
          </wp:positionV>
          <wp:extent cx="4499610" cy="7239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49961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236">
      <w:rPr>
        <w:noProof/>
      </w:rPr>
      <mc:AlternateContent>
        <mc:Choice Requires="wps">
          <w:drawing>
            <wp:anchor distT="45720" distB="45720" distL="114300" distR="114300" simplePos="0" relativeHeight="251664384" behindDoc="0" locked="0" layoutInCell="1" allowOverlap="1" wp14:anchorId="4FE3913D" wp14:editId="0902B221">
              <wp:simplePos x="0" y="0"/>
              <wp:positionH relativeFrom="column">
                <wp:posOffset>-399415</wp:posOffset>
              </wp:positionH>
              <wp:positionV relativeFrom="paragraph">
                <wp:posOffset>-429895</wp:posOffset>
              </wp:positionV>
              <wp:extent cx="1441450" cy="1404620"/>
              <wp:effectExtent l="0" t="0" r="6350" b="635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404620"/>
                      </a:xfrm>
                      <a:prstGeom prst="rect">
                        <a:avLst/>
                      </a:prstGeom>
                      <a:solidFill>
                        <a:srgbClr val="FFFFFF"/>
                      </a:solidFill>
                      <a:ln w="9525">
                        <a:noFill/>
                        <a:miter lim="800000"/>
                        <a:headEnd/>
                        <a:tailEnd/>
                      </a:ln>
                    </wps:spPr>
                    <wps:txbx>
                      <w:txbxContent>
                        <w:p w14:paraId="2948DCE5" w14:textId="588597C6" w:rsidR="001D4F30" w:rsidRPr="001D4F30" w:rsidRDefault="001D4F30" w:rsidP="001D4F30">
                          <w:pPr>
                            <w:spacing w:after="0" w:line="240" w:lineRule="auto"/>
                            <w:rPr>
                              <w:rFonts w:ascii="Arial" w:hAnsi="Arial" w:cs="Arial"/>
                              <w:sz w:val="12"/>
                              <w:szCs w:val="12"/>
                            </w:rPr>
                          </w:pPr>
                          <w:r w:rsidRPr="001D4F30">
                            <w:rPr>
                              <w:rFonts w:ascii="Arial" w:hAnsi="Arial" w:cs="Arial"/>
                              <w:sz w:val="12"/>
                              <w:szCs w:val="12"/>
                            </w:rPr>
                            <w:t xml:space="preserve">Dirección de Comunicación </w:t>
                          </w:r>
                          <w:r w:rsidR="00FA716A">
                            <w:rPr>
                              <w:rFonts w:ascii="Arial" w:hAnsi="Arial" w:cs="Arial"/>
                              <w:sz w:val="12"/>
                              <w:szCs w:val="12"/>
                            </w:rPr>
                            <w:t>Externa</w:t>
                          </w:r>
                        </w:p>
                        <w:p w14:paraId="44E21206" w14:textId="4AAAA049" w:rsidR="001D4F30" w:rsidRPr="001D4F30" w:rsidRDefault="00CA32C8" w:rsidP="001D4F30">
                          <w:pPr>
                            <w:spacing w:after="0" w:line="240" w:lineRule="auto"/>
                            <w:rPr>
                              <w:rFonts w:ascii="Arial" w:hAnsi="Arial" w:cs="Arial"/>
                              <w:sz w:val="12"/>
                              <w:szCs w:val="12"/>
                            </w:rPr>
                          </w:pPr>
                          <w:hyperlink r:id="rId2" w:history="1">
                            <w:r w:rsidR="001D4F30" w:rsidRPr="001D4F30">
                              <w:rPr>
                                <w:rStyle w:val="Hipervnculo"/>
                                <w:rFonts w:ascii="Arial" w:hAnsi="Arial" w:cs="Arial"/>
                                <w:sz w:val="12"/>
                                <w:szCs w:val="12"/>
                              </w:rPr>
                              <w:t>prensa@caixabank.com</w:t>
                            </w:r>
                          </w:hyperlink>
                        </w:p>
                        <w:p w14:paraId="6513B798" w14:textId="319F4329" w:rsidR="001D4F30" w:rsidRPr="001D4F30" w:rsidRDefault="001D4F30" w:rsidP="001D4F30">
                          <w:pPr>
                            <w:spacing w:after="0" w:line="240" w:lineRule="auto"/>
                            <w:rPr>
                              <w:rFonts w:ascii="Arial" w:hAnsi="Arial" w:cs="Arial"/>
                              <w:sz w:val="12"/>
                              <w:szCs w:val="12"/>
                            </w:rPr>
                          </w:pPr>
                          <w:r w:rsidRPr="001D4F30">
                            <w:rPr>
                              <w:rFonts w:ascii="Arial" w:hAnsi="Arial" w:cs="Arial"/>
                              <w:sz w:val="12"/>
                              <w:szCs w:val="12"/>
                            </w:rPr>
                            <w:t>www.caixabank.com/comunicacion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E3913D" id="_x0000_t202" coordsize="21600,21600" o:spt="202" path="m,l,21600r21600,l21600,xe">
              <v:stroke joinstyle="miter"/>
              <v:path gradientshapeok="t" o:connecttype="rect"/>
            </v:shapetype>
            <v:shape id="Cuadro de texto 2" o:spid="_x0000_s1026" type="#_x0000_t202" style="position:absolute;left:0;text-align:left;margin-left:-31.45pt;margin-top:-33.85pt;width:113.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nyDg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" stroked="f">
              <v:textbox style="mso-fit-shape-to-text:t">
                <w:txbxContent>
                  <w:p w14:paraId="2948DCE5" w14:textId="588597C6" w:rsidR="001D4F30" w:rsidRPr="001D4F30" w:rsidRDefault="001D4F30" w:rsidP="001D4F30">
                    <w:pPr>
                      <w:spacing w:after="0" w:line="240" w:lineRule="auto"/>
                      <w:rPr>
                        <w:rFonts w:ascii="Arial" w:hAnsi="Arial" w:cs="Arial"/>
                        <w:sz w:val="12"/>
                        <w:szCs w:val="12"/>
                      </w:rPr>
                    </w:pPr>
                    <w:r w:rsidRPr="001D4F30">
                      <w:rPr>
                        <w:rFonts w:ascii="Arial" w:hAnsi="Arial" w:cs="Arial"/>
                        <w:sz w:val="12"/>
                        <w:szCs w:val="12"/>
                      </w:rPr>
                      <w:t xml:space="preserve">Dirección de Comunicación </w:t>
                    </w:r>
                    <w:r w:rsidR="00FA716A">
                      <w:rPr>
                        <w:rFonts w:ascii="Arial" w:hAnsi="Arial" w:cs="Arial"/>
                        <w:sz w:val="12"/>
                        <w:szCs w:val="12"/>
                      </w:rPr>
                      <w:t>Externa</w:t>
                    </w:r>
                  </w:p>
                  <w:p w14:paraId="44E21206" w14:textId="4AAAA049" w:rsidR="001D4F30" w:rsidRPr="001D4F30" w:rsidRDefault="00CA32C8" w:rsidP="001D4F30">
                    <w:pPr>
                      <w:spacing w:after="0" w:line="240" w:lineRule="auto"/>
                      <w:rPr>
                        <w:rFonts w:ascii="Arial" w:hAnsi="Arial" w:cs="Arial"/>
                        <w:sz w:val="12"/>
                        <w:szCs w:val="12"/>
                      </w:rPr>
                    </w:pPr>
                    <w:hyperlink r:id="rId3" w:history="1">
                      <w:r w:rsidR="001D4F30" w:rsidRPr="001D4F30">
                        <w:rPr>
                          <w:rStyle w:val="Hipervnculo"/>
                          <w:rFonts w:ascii="Arial" w:hAnsi="Arial" w:cs="Arial"/>
                          <w:sz w:val="12"/>
                          <w:szCs w:val="12"/>
                        </w:rPr>
                        <w:t>prensa@caixabank.com</w:t>
                      </w:r>
                    </w:hyperlink>
                  </w:p>
                  <w:p w14:paraId="6513B798" w14:textId="319F4329" w:rsidR="001D4F30" w:rsidRPr="001D4F30" w:rsidRDefault="001D4F30" w:rsidP="001D4F30">
                    <w:pPr>
                      <w:spacing w:after="0" w:line="240" w:lineRule="auto"/>
                      <w:rPr>
                        <w:rFonts w:ascii="Arial" w:hAnsi="Arial" w:cs="Arial"/>
                        <w:sz w:val="12"/>
                        <w:szCs w:val="12"/>
                      </w:rPr>
                    </w:pPr>
                    <w:r w:rsidRPr="001D4F30">
                      <w:rPr>
                        <w:rFonts w:ascii="Arial" w:hAnsi="Arial" w:cs="Arial"/>
                        <w:sz w:val="12"/>
                        <w:szCs w:val="12"/>
                      </w:rPr>
                      <w:t>www.caixabank.com/comunicacion</w:t>
                    </w:r>
                  </w:p>
                </w:txbxContent>
              </v:textbox>
              <w10:wrap type="square"/>
            </v:shape>
          </w:pict>
        </mc:Fallback>
      </mc:AlternateContent>
    </w:r>
    <w:r w:rsidR="00B60236">
      <w:rPr>
        <w:noProof/>
      </w:rPr>
      <mc:AlternateContent>
        <mc:Choice Requires="wps">
          <w:drawing>
            <wp:anchor distT="0" distB="0" distL="114300" distR="114300" simplePos="0" relativeHeight="251665408" behindDoc="0" locked="0" layoutInCell="1" allowOverlap="1" wp14:anchorId="3E7D3522" wp14:editId="0854837B">
              <wp:simplePos x="0" y="0"/>
              <wp:positionH relativeFrom="page">
                <wp:align>center</wp:align>
              </wp:positionH>
              <wp:positionV relativeFrom="paragraph">
                <wp:posOffset>-560070</wp:posOffset>
              </wp:positionV>
              <wp:extent cx="6336000" cy="0"/>
              <wp:effectExtent l="0" t="0" r="0" b="0"/>
              <wp:wrapSquare wrapText="bothSides"/>
              <wp:docPr id="12" name="Conector recto 12"/>
              <wp:cNvGraphicFramePr/>
              <a:graphic xmlns:a="http://schemas.openxmlformats.org/drawingml/2006/main">
                <a:graphicData uri="http://schemas.microsoft.com/office/word/2010/wordprocessingShape">
                  <wps:wsp>
                    <wps:cNvCnPr/>
                    <wps:spPr>
                      <a:xfrm>
                        <a:off x="0" y="0"/>
                        <a:ext cx="633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0461880F" id="Conector recto 12" o:spid="_x0000_s1026" style="position:absolute;z-index:25166540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from="0,-44.1pt" to="498.9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" strokecolor="black [3200]" strokeweight=".5pt">
              <v:stroke joinstyle="miter"/>
              <w10:wrap type="square" anchorx="page"/>
            </v:line>
          </w:pict>
        </mc:Fallback>
      </mc:AlternateContent>
    </w:r>
    <w:sdt>
      <w:sdtPr>
        <w:id w:val="-1999643176"/>
        <w:docPartObj>
          <w:docPartGallery w:val="Page Numbers (Bottom of Page)"/>
          <w:docPartUnique/>
        </w:docPartObj>
      </w:sdtPr>
      <w:sdtEndPr>
        <w:rPr>
          <w:rFonts w:ascii="Arial" w:hAnsi="Arial" w:cs="Arial"/>
          <w:sz w:val="16"/>
          <w:szCs w:val="16"/>
        </w:rPr>
      </w:sdtEndPr>
      <w:sdtContent>
        <w:r w:rsidR="008F0D64" w:rsidRPr="00B60236">
          <w:rPr>
            <w:rFonts w:ascii="Arial" w:hAnsi="Arial" w:cs="Arial"/>
            <w:sz w:val="16"/>
            <w:szCs w:val="16"/>
          </w:rPr>
          <w:fldChar w:fldCharType="begin"/>
        </w:r>
        <w:r w:rsidR="008F0D64" w:rsidRPr="00B60236">
          <w:rPr>
            <w:rFonts w:ascii="Arial" w:hAnsi="Arial" w:cs="Arial"/>
            <w:sz w:val="16"/>
            <w:szCs w:val="16"/>
          </w:rPr>
          <w:instrText>PAGE   \* MERGEFORMAT</w:instrText>
        </w:r>
        <w:r w:rsidR="008F0D64" w:rsidRPr="00B60236">
          <w:rPr>
            <w:rFonts w:ascii="Arial" w:hAnsi="Arial" w:cs="Arial"/>
            <w:sz w:val="16"/>
            <w:szCs w:val="16"/>
          </w:rPr>
          <w:fldChar w:fldCharType="separate"/>
        </w:r>
        <w:r w:rsidR="008F0D64" w:rsidRPr="00B60236">
          <w:rPr>
            <w:rFonts w:ascii="Arial" w:hAnsi="Arial" w:cs="Arial"/>
            <w:sz w:val="16"/>
            <w:szCs w:val="16"/>
          </w:rPr>
          <w:t>2</w:t>
        </w:r>
        <w:r w:rsidR="008F0D64" w:rsidRPr="00B60236">
          <w:rPr>
            <w:rFonts w:ascii="Arial" w:hAnsi="Arial" w:cs="Arial"/>
            <w:sz w:val="16"/>
            <w:szCs w:val="16"/>
          </w:rPr>
          <w:fldChar w:fldCharType="end"/>
        </w:r>
      </w:sdtContent>
    </w:sdt>
  </w:p>
  <w:p w14:paraId="5C56A361" w14:textId="46FB7BCE" w:rsidR="00D040E1" w:rsidRDefault="00D040E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AD4AD" w14:textId="77777777" w:rsidR="004F5D1C" w:rsidRDefault="004F5D1C" w:rsidP="001E4FCE">
      <w:pPr>
        <w:spacing w:after="0" w:line="240" w:lineRule="auto"/>
      </w:pPr>
      <w:r>
        <w:separator/>
      </w:r>
    </w:p>
  </w:footnote>
  <w:footnote w:type="continuationSeparator" w:id="0">
    <w:p w14:paraId="3B991538" w14:textId="77777777" w:rsidR="004F5D1C" w:rsidRDefault="004F5D1C" w:rsidP="001E4F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3BF40" w14:textId="10DBBD82" w:rsidR="001E4FCE" w:rsidRDefault="00BD6D51">
    <w:pPr>
      <w:pStyle w:val="Encabezado"/>
    </w:pPr>
    <w:r>
      <w:rPr>
        <w:noProof/>
        <w:lang w:eastAsia="es-ES"/>
      </w:rPr>
      <w:drawing>
        <wp:anchor distT="0" distB="0" distL="114300" distR="114300" simplePos="0" relativeHeight="251667456" behindDoc="1" locked="0" layoutInCell="1" allowOverlap="1" wp14:anchorId="5A50BF9A" wp14:editId="326BB426">
          <wp:simplePos x="0" y="0"/>
          <wp:positionH relativeFrom="column">
            <wp:posOffset>3989127</wp:posOffset>
          </wp:positionH>
          <wp:positionV relativeFrom="paragraph">
            <wp:posOffset>-82237</wp:posOffset>
          </wp:positionV>
          <wp:extent cx="1536700" cy="485775"/>
          <wp:effectExtent l="19050" t="0" r="6350" b="0"/>
          <wp:wrapTight wrapText="bothSides">
            <wp:wrapPolygon edited="0">
              <wp:start x="-268" y="0"/>
              <wp:lineTo x="-268" y="21176"/>
              <wp:lineTo x="21689" y="21176"/>
              <wp:lineTo x="21689" y="0"/>
              <wp:lineTo x="-268" y="0"/>
            </wp:wrapPolygon>
          </wp:wrapTight>
          <wp:docPr id="21" name="Imagen 21" descr="Z:\SACME\001 DEPARTAMENTO\3. JAVIER VAL\01 LOGOS\CEOE Aragón\Logo CEOE Aragón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Z:\SACME\001 DEPARTAMENTO\3. JAVIER VAL\01 LOGOS\CEOE Aragón\Logo CEOE Aragón -original.jpg"/>
                  <pic:cNvPicPr>
                    <a:picLocks noChangeAspect="1" noChangeArrowheads="1"/>
                  </pic:cNvPicPr>
                </pic:nvPicPr>
                <pic:blipFill>
                  <a:blip r:embed="rId1"/>
                  <a:stretch>
                    <a:fillRect/>
                  </a:stretch>
                </pic:blipFill>
                <pic:spPr bwMode="auto">
                  <a:xfrm>
                    <a:off x="0" y="0"/>
                    <a:ext cx="1536700" cy="485775"/>
                  </a:xfrm>
                  <a:prstGeom prst="rect">
                    <a:avLst/>
                  </a:prstGeom>
                  <a:noFill/>
                </pic:spPr>
              </pic:pic>
            </a:graphicData>
          </a:graphic>
        </wp:anchor>
      </w:drawing>
    </w:r>
    <w:r w:rsidR="00B60236">
      <w:rPr>
        <w:noProof/>
      </w:rPr>
      <mc:AlternateContent>
        <mc:Choice Requires="wps">
          <w:drawing>
            <wp:anchor distT="0" distB="0" distL="114300" distR="114300" simplePos="0" relativeHeight="251660288" behindDoc="0" locked="0" layoutInCell="1" allowOverlap="1" wp14:anchorId="118660B0" wp14:editId="2E03C975">
              <wp:simplePos x="0" y="0"/>
              <wp:positionH relativeFrom="margin">
                <wp:align>center</wp:align>
              </wp:positionH>
              <wp:positionV relativeFrom="paragraph">
                <wp:posOffset>527685</wp:posOffset>
              </wp:positionV>
              <wp:extent cx="6286500" cy="177800"/>
              <wp:effectExtent l="0" t="0" r="19050" b="12700"/>
              <wp:wrapNone/>
              <wp:docPr id="1" name="Rectángulo 1"/>
              <wp:cNvGraphicFramePr/>
              <a:graphic xmlns:a="http://schemas.openxmlformats.org/drawingml/2006/main">
                <a:graphicData uri="http://schemas.microsoft.com/office/word/2010/wordprocessingShape">
                  <wps:wsp>
                    <wps:cNvSpPr/>
                    <wps:spPr>
                      <a:xfrm>
                        <a:off x="0" y="0"/>
                        <a:ext cx="6286500" cy="177800"/>
                      </a:xfrm>
                      <a:prstGeom prst="rect">
                        <a:avLst/>
                      </a:prstGeom>
                      <a:solidFill>
                        <a:srgbClr val="DBDEDD"/>
                      </a:solidFill>
                      <a:ln>
                        <a:solidFill>
                          <a:srgbClr val="DBDED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F29C86F" id="Rectángulo 1" o:spid="_x0000_s1026" style="position:absolute;margin-left:0;margin-top:41.55pt;width:495pt;height:14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" fillcolor="#dbdedd" strokecolor="#dbdedd" strokeweight="1pt">
              <w10:wrap anchorx="margin"/>
            </v:rect>
          </w:pict>
        </mc:Fallback>
      </mc:AlternateContent>
    </w:r>
    <w:r w:rsidR="001F5497">
      <w:rPr>
        <w:noProof/>
      </w:rPr>
      <w:drawing>
        <wp:anchor distT="0" distB="0" distL="114300" distR="114300" simplePos="0" relativeHeight="251661312" behindDoc="0" locked="0" layoutInCell="1" allowOverlap="1" wp14:anchorId="41E385E5" wp14:editId="71A2D9F6">
          <wp:simplePos x="0" y="0"/>
          <wp:positionH relativeFrom="column">
            <wp:posOffset>-438785</wp:posOffset>
          </wp:positionH>
          <wp:positionV relativeFrom="paragraph">
            <wp:posOffset>46355</wp:posOffset>
          </wp:positionV>
          <wp:extent cx="1625600" cy="335280"/>
          <wp:effectExtent l="0" t="0" r="0" b="7620"/>
          <wp:wrapSquare wrapText="bothSides"/>
          <wp:docPr id="6" name="Imagen 6" descr="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bujo con letras&#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1625600" cy="335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461B"/>
    <w:multiLevelType w:val="hybridMultilevel"/>
    <w:tmpl w:val="869CADE6"/>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 w15:restartNumberingAfterBreak="0">
    <w:nsid w:val="1A2A66FE"/>
    <w:multiLevelType w:val="hybridMultilevel"/>
    <w:tmpl w:val="BF6624E4"/>
    <w:lvl w:ilvl="0" w:tplc="9FC83A66">
      <w:start w:val="1"/>
      <w:numFmt w:val="bullet"/>
      <w:lvlText w:val=""/>
      <w:lvlJc w:val="left"/>
      <w:pPr>
        <w:ind w:left="720" w:hanging="360"/>
      </w:pPr>
      <w:rPr>
        <w:rFonts w:ascii="Symbol" w:hAnsi="Symbol"/>
      </w:rPr>
    </w:lvl>
    <w:lvl w:ilvl="1" w:tplc="A5D20676">
      <w:start w:val="1"/>
      <w:numFmt w:val="bullet"/>
      <w:lvlText w:val=""/>
      <w:lvlJc w:val="left"/>
      <w:pPr>
        <w:ind w:left="720" w:hanging="360"/>
      </w:pPr>
      <w:rPr>
        <w:rFonts w:ascii="Symbol" w:hAnsi="Symbol"/>
      </w:rPr>
    </w:lvl>
    <w:lvl w:ilvl="2" w:tplc="1F5EB7BA">
      <w:start w:val="1"/>
      <w:numFmt w:val="bullet"/>
      <w:lvlText w:val=""/>
      <w:lvlJc w:val="left"/>
      <w:pPr>
        <w:ind w:left="720" w:hanging="360"/>
      </w:pPr>
      <w:rPr>
        <w:rFonts w:ascii="Symbol" w:hAnsi="Symbol"/>
      </w:rPr>
    </w:lvl>
    <w:lvl w:ilvl="3" w:tplc="FDCE8D14">
      <w:start w:val="1"/>
      <w:numFmt w:val="bullet"/>
      <w:lvlText w:val=""/>
      <w:lvlJc w:val="left"/>
      <w:pPr>
        <w:ind w:left="720" w:hanging="360"/>
      </w:pPr>
      <w:rPr>
        <w:rFonts w:ascii="Symbol" w:hAnsi="Symbol"/>
      </w:rPr>
    </w:lvl>
    <w:lvl w:ilvl="4" w:tplc="CB82F33A">
      <w:start w:val="1"/>
      <w:numFmt w:val="bullet"/>
      <w:lvlText w:val=""/>
      <w:lvlJc w:val="left"/>
      <w:pPr>
        <w:ind w:left="720" w:hanging="360"/>
      </w:pPr>
      <w:rPr>
        <w:rFonts w:ascii="Symbol" w:hAnsi="Symbol"/>
      </w:rPr>
    </w:lvl>
    <w:lvl w:ilvl="5" w:tplc="95E4C35E">
      <w:start w:val="1"/>
      <w:numFmt w:val="bullet"/>
      <w:lvlText w:val=""/>
      <w:lvlJc w:val="left"/>
      <w:pPr>
        <w:ind w:left="720" w:hanging="360"/>
      </w:pPr>
      <w:rPr>
        <w:rFonts w:ascii="Symbol" w:hAnsi="Symbol"/>
      </w:rPr>
    </w:lvl>
    <w:lvl w:ilvl="6" w:tplc="9C3E8902">
      <w:start w:val="1"/>
      <w:numFmt w:val="bullet"/>
      <w:lvlText w:val=""/>
      <w:lvlJc w:val="left"/>
      <w:pPr>
        <w:ind w:left="720" w:hanging="360"/>
      </w:pPr>
      <w:rPr>
        <w:rFonts w:ascii="Symbol" w:hAnsi="Symbol"/>
      </w:rPr>
    </w:lvl>
    <w:lvl w:ilvl="7" w:tplc="8E6A0552">
      <w:start w:val="1"/>
      <w:numFmt w:val="bullet"/>
      <w:lvlText w:val=""/>
      <w:lvlJc w:val="left"/>
      <w:pPr>
        <w:ind w:left="720" w:hanging="360"/>
      </w:pPr>
      <w:rPr>
        <w:rFonts w:ascii="Symbol" w:hAnsi="Symbol"/>
      </w:rPr>
    </w:lvl>
    <w:lvl w:ilvl="8" w:tplc="976ED63E">
      <w:start w:val="1"/>
      <w:numFmt w:val="bullet"/>
      <w:lvlText w:val=""/>
      <w:lvlJc w:val="left"/>
      <w:pPr>
        <w:ind w:left="720" w:hanging="360"/>
      </w:pPr>
      <w:rPr>
        <w:rFonts w:ascii="Symbol" w:hAnsi="Symbol"/>
      </w:rPr>
    </w:lvl>
  </w:abstractNum>
  <w:abstractNum w:abstractNumId="2" w15:restartNumberingAfterBreak="0">
    <w:nsid w:val="1DF73691"/>
    <w:multiLevelType w:val="hybridMultilevel"/>
    <w:tmpl w:val="408A77F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28BA1717"/>
    <w:multiLevelType w:val="hybridMultilevel"/>
    <w:tmpl w:val="847C15C4"/>
    <w:lvl w:ilvl="0" w:tplc="C6845844">
      <w:start w:val="18"/>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A425D77"/>
    <w:multiLevelType w:val="hybridMultilevel"/>
    <w:tmpl w:val="BA2CB6D8"/>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 w15:restartNumberingAfterBreak="0">
    <w:nsid w:val="533852AF"/>
    <w:multiLevelType w:val="hybridMultilevel"/>
    <w:tmpl w:val="B5B21C16"/>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 w15:restartNumberingAfterBreak="0">
    <w:nsid w:val="6A145231"/>
    <w:multiLevelType w:val="hybridMultilevel"/>
    <w:tmpl w:val="B7F001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FA9006C"/>
    <w:multiLevelType w:val="hybridMultilevel"/>
    <w:tmpl w:val="A210EA04"/>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num w:numId="1" w16cid:durableId="339507103">
    <w:abstractNumId w:val="6"/>
  </w:num>
  <w:num w:numId="2" w16cid:durableId="309870740">
    <w:abstractNumId w:val="2"/>
  </w:num>
  <w:num w:numId="3" w16cid:durableId="615913633">
    <w:abstractNumId w:val="0"/>
  </w:num>
  <w:num w:numId="4" w16cid:durableId="1615016573">
    <w:abstractNumId w:val="4"/>
  </w:num>
  <w:num w:numId="5" w16cid:durableId="408964319">
    <w:abstractNumId w:val="5"/>
  </w:num>
  <w:num w:numId="6" w16cid:durableId="1060443977">
    <w:abstractNumId w:val="7"/>
  </w:num>
  <w:num w:numId="7" w16cid:durableId="1381132478">
    <w:abstractNumId w:val="1"/>
  </w:num>
  <w:num w:numId="8" w16cid:durableId="17415574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73A"/>
    <w:rsid w:val="0001335A"/>
    <w:rsid w:val="00024A00"/>
    <w:rsid w:val="00041BC1"/>
    <w:rsid w:val="00051CF6"/>
    <w:rsid w:val="0006627E"/>
    <w:rsid w:val="00085EFB"/>
    <w:rsid w:val="000906F9"/>
    <w:rsid w:val="000A0815"/>
    <w:rsid w:val="000B4BEF"/>
    <w:rsid w:val="000D0614"/>
    <w:rsid w:val="000E073A"/>
    <w:rsid w:val="000E34B1"/>
    <w:rsid w:val="000F52A6"/>
    <w:rsid w:val="001131AA"/>
    <w:rsid w:val="0011783D"/>
    <w:rsid w:val="00146639"/>
    <w:rsid w:val="0015347D"/>
    <w:rsid w:val="00153BAB"/>
    <w:rsid w:val="00154307"/>
    <w:rsid w:val="00165554"/>
    <w:rsid w:val="00170A68"/>
    <w:rsid w:val="001801F8"/>
    <w:rsid w:val="00180245"/>
    <w:rsid w:val="00180E0F"/>
    <w:rsid w:val="00184EBB"/>
    <w:rsid w:val="001A1F3A"/>
    <w:rsid w:val="001A5090"/>
    <w:rsid w:val="001A750A"/>
    <w:rsid w:val="001C0D47"/>
    <w:rsid w:val="001C1659"/>
    <w:rsid w:val="001D4F30"/>
    <w:rsid w:val="001E36DA"/>
    <w:rsid w:val="001E4FCE"/>
    <w:rsid w:val="001E641A"/>
    <w:rsid w:val="001F5497"/>
    <w:rsid w:val="001F5507"/>
    <w:rsid w:val="001F7E24"/>
    <w:rsid w:val="00217FB7"/>
    <w:rsid w:val="002258B7"/>
    <w:rsid w:val="00251EA7"/>
    <w:rsid w:val="002550F3"/>
    <w:rsid w:val="00271BE4"/>
    <w:rsid w:val="002967A4"/>
    <w:rsid w:val="00297E3F"/>
    <w:rsid w:val="002A4F7C"/>
    <w:rsid w:val="002A7286"/>
    <w:rsid w:val="002B0127"/>
    <w:rsid w:val="002D3F68"/>
    <w:rsid w:val="002F01A1"/>
    <w:rsid w:val="002F0CDD"/>
    <w:rsid w:val="002F46B3"/>
    <w:rsid w:val="00326E92"/>
    <w:rsid w:val="00326F61"/>
    <w:rsid w:val="00343779"/>
    <w:rsid w:val="00350F14"/>
    <w:rsid w:val="003538E4"/>
    <w:rsid w:val="003815A8"/>
    <w:rsid w:val="00386E4E"/>
    <w:rsid w:val="003B2E4D"/>
    <w:rsid w:val="003C2503"/>
    <w:rsid w:val="003C2C20"/>
    <w:rsid w:val="003C66F1"/>
    <w:rsid w:val="00471972"/>
    <w:rsid w:val="00477C81"/>
    <w:rsid w:val="00481FEA"/>
    <w:rsid w:val="00493B95"/>
    <w:rsid w:val="004C1C84"/>
    <w:rsid w:val="004E5F8F"/>
    <w:rsid w:val="004F5D1C"/>
    <w:rsid w:val="00503940"/>
    <w:rsid w:val="005419AD"/>
    <w:rsid w:val="005572F6"/>
    <w:rsid w:val="00567A5C"/>
    <w:rsid w:val="005B4F5C"/>
    <w:rsid w:val="005C19ED"/>
    <w:rsid w:val="005C5FF9"/>
    <w:rsid w:val="005D1013"/>
    <w:rsid w:val="005D1869"/>
    <w:rsid w:val="005D521D"/>
    <w:rsid w:val="005E564C"/>
    <w:rsid w:val="005F1CD1"/>
    <w:rsid w:val="005F2684"/>
    <w:rsid w:val="005F6FD3"/>
    <w:rsid w:val="00601423"/>
    <w:rsid w:val="00607618"/>
    <w:rsid w:val="00613ED4"/>
    <w:rsid w:val="0062067C"/>
    <w:rsid w:val="00640D50"/>
    <w:rsid w:val="006474C7"/>
    <w:rsid w:val="006609A6"/>
    <w:rsid w:val="00672CE4"/>
    <w:rsid w:val="006B2A84"/>
    <w:rsid w:val="006C45A5"/>
    <w:rsid w:val="006D30EB"/>
    <w:rsid w:val="006E0563"/>
    <w:rsid w:val="00756FC1"/>
    <w:rsid w:val="00770BC3"/>
    <w:rsid w:val="007854F0"/>
    <w:rsid w:val="007B4961"/>
    <w:rsid w:val="007C11C4"/>
    <w:rsid w:val="007D233F"/>
    <w:rsid w:val="007E3120"/>
    <w:rsid w:val="007E71FD"/>
    <w:rsid w:val="007F0C49"/>
    <w:rsid w:val="007F0E45"/>
    <w:rsid w:val="007F196E"/>
    <w:rsid w:val="00815362"/>
    <w:rsid w:val="00817F25"/>
    <w:rsid w:val="00872630"/>
    <w:rsid w:val="00872961"/>
    <w:rsid w:val="00892FA7"/>
    <w:rsid w:val="008B3B6E"/>
    <w:rsid w:val="008C7144"/>
    <w:rsid w:val="008D3F5D"/>
    <w:rsid w:val="008D5044"/>
    <w:rsid w:val="008D7E06"/>
    <w:rsid w:val="008E37C5"/>
    <w:rsid w:val="008E5019"/>
    <w:rsid w:val="008F0D64"/>
    <w:rsid w:val="008F7D0B"/>
    <w:rsid w:val="00931D82"/>
    <w:rsid w:val="0093547F"/>
    <w:rsid w:val="00951B3E"/>
    <w:rsid w:val="00961A8F"/>
    <w:rsid w:val="00973980"/>
    <w:rsid w:val="00977E51"/>
    <w:rsid w:val="009A2F16"/>
    <w:rsid w:val="009C2F8E"/>
    <w:rsid w:val="009D4492"/>
    <w:rsid w:val="009F241B"/>
    <w:rsid w:val="009F2F38"/>
    <w:rsid w:val="00A076A1"/>
    <w:rsid w:val="00A3140A"/>
    <w:rsid w:val="00A41851"/>
    <w:rsid w:val="00AA70B0"/>
    <w:rsid w:val="00AB7D50"/>
    <w:rsid w:val="00AC7FF8"/>
    <w:rsid w:val="00B00733"/>
    <w:rsid w:val="00B036D0"/>
    <w:rsid w:val="00B32649"/>
    <w:rsid w:val="00B3545F"/>
    <w:rsid w:val="00B60236"/>
    <w:rsid w:val="00B850F9"/>
    <w:rsid w:val="00B853A7"/>
    <w:rsid w:val="00B9607E"/>
    <w:rsid w:val="00BC1BC4"/>
    <w:rsid w:val="00BD6D51"/>
    <w:rsid w:val="00BE1CA0"/>
    <w:rsid w:val="00C04325"/>
    <w:rsid w:val="00C20B7C"/>
    <w:rsid w:val="00C2235F"/>
    <w:rsid w:val="00C37775"/>
    <w:rsid w:val="00C408A0"/>
    <w:rsid w:val="00C45D0F"/>
    <w:rsid w:val="00C4617A"/>
    <w:rsid w:val="00C718E6"/>
    <w:rsid w:val="00C86770"/>
    <w:rsid w:val="00CA32C8"/>
    <w:rsid w:val="00CA34B9"/>
    <w:rsid w:val="00CC1975"/>
    <w:rsid w:val="00CF19B1"/>
    <w:rsid w:val="00CF38F9"/>
    <w:rsid w:val="00D01303"/>
    <w:rsid w:val="00D040E1"/>
    <w:rsid w:val="00D14A5F"/>
    <w:rsid w:val="00D40F7E"/>
    <w:rsid w:val="00D9721C"/>
    <w:rsid w:val="00DA0828"/>
    <w:rsid w:val="00DA3B10"/>
    <w:rsid w:val="00E06F8F"/>
    <w:rsid w:val="00E101FD"/>
    <w:rsid w:val="00E350EB"/>
    <w:rsid w:val="00E37A3E"/>
    <w:rsid w:val="00E50890"/>
    <w:rsid w:val="00E6220D"/>
    <w:rsid w:val="00E87A59"/>
    <w:rsid w:val="00E95E9D"/>
    <w:rsid w:val="00ED2520"/>
    <w:rsid w:val="00EE47C2"/>
    <w:rsid w:val="00F024C5"/>
    <w:rsid w:val="00F1780F"/>
    <w:rsid w:val="00F42D89"/>
    <w:rsid w:val="00F474A3"/>
    <w:rsid w:val="00FA0C9F"/>
    <w:rsid w:val="00FA4564"/>
    <w:rsid w:val="00FA716A"/>
    <w:rsid w:val="00FB458F"/>
    <w:rsid w:val="00FB7D4F"/>
    <w:rsid w:val="00FC1DFC"/>
    <w:rsid w:val="00FC7D71"/>
    <w:rsid w:val="00FD4C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EFEDC"/>
  <w15:chartTrackingRefBased/>
  <w15:docId w15:val="{2693533F-CBAE-4A97-ABD5-E6BFFA7AC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0B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E4FCE"/>
    <w:pPr>
      <w:ind w:left="720"/>
      <w:contextualSpacing/>
    </w:pPr>
  </w:style>
  <w:style w:type="paragraph" w:styleId="Encabezado">
    <w:name w:val="header"/>
    <w:basedOn w:val="Normal"/>
    <w:link w:val="EncabezadoCar"/>
    <w:uiPriority w:val="99"/>
    <w:unhideWhenUsed/>
    <w:rsid w:val="001E4FC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E4FCE"/>
  </w:style>
  <w:style w:type="paragraph" w:styleId="Piedepgina">
    <w:name w:val="footer"/>
    <w:basedOn w:val="Normal"/>
    <w:link w:val="PiedepginaCar"/>
    <w:uiPriority w:val="99"/>
    <w:unhideWhenUsed/>
    <w:rsid w:val="001E4FC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E4FCE"/>
  </w:style>
  <w:style w:type="character" w:styleId="Hipervnculo">
    <w:name w:val="Hyperlink"/>
    <w:basedOn w:val="Fuentedeprrafopredeter"/>
    <w:uiPriority w:val="99"/>
    <w:unhideWhenUsed/>
    <w:rsid w:val="00D040E1"/>
    <w:rPr>
      <w:color w:val="0563C1" w:themeColor="hyperlink"/>
      <w:u w:val="single"/>
    </w:rPr>
  </w:style>
  <w:style w:type="character" w:styleId="Mencinsinresolver">
    <w:name w:val="Unresolved Mention"/>
    <w:basedOn w:val="Fuentedeprrafopredeter"/>
    <w:uiPriority w:val="99"/>
    <w:semiHidden/>
    <w:unhideWhenUsed/>
    <w:rsid w:val="00D040E1"/>
    <w:rPr>
      <w:color w:val="605E5C"/>
      <w:shd w:val="clear" w:color="auto" w:fill="E1DFDD"/>
    </w:rPr>
  </w:style>
  <w:style w:type="paragraph" w:customStyle="1" w:styleId="Prrafobsico">
    <w:name w:val="[Párrafo básico]"/>
    <w:basedOn w:val="Normal"/>
    <w:uiPriority w:val="99"/>
    <w:rsid w:val="000F52A6"/>
    <w:pPr>
      <w:widowControl w:val="0"/>
      <w:autoSpaceDE w:val="0"/>
      <w:autoSpaceDN w:val="0"/>
      <w:adjustRightInd w:val="0"/>
      <w:spacing w:after="0" w:line="288" w:lineRule="auto"/>
    </w:pPr>
    <w:rPr>
      <w:rFonts w:ascii="MinionPro-Regular" w:eastAsiaTheme="minorEastAsia" w:hAnsi="MinionPro-Regular" w:cs="MinionPro-Regular"/>
      <w:color w:val="000000"/>
      <w:sz w:val="24"/>
      <w:szCs w:val="24"/>
      <w:lang w:val="es-ES_tradnl" w:eastAsia="es-ES"/>
    </w:rPr>
  </w:style>
  <w:style w:type="character" w:styleId="Refdecomentario">
    <w:name w:val="annotation reference"/>
    <w:basedOn w:val="Fuentedeprrafopredeter"/>
    <w:uiPriority w:val="99"/>
    <w:semiHidden/>
    <w:unhideWhenUsed/>
    <w:rsid w:val="005F1CD1"/>
    <w:rPr>
      <w:sz w:val="16"/>
      <w:szCs w:val="16"/>
    </w:rPr>
  </w:style>
  <w:style w:type="paragraph" w:styleId="Textocomentario">
    <w:name w:val="annotation text"/>
    <w:basedOn w:val="Normal"/>
    <w:link w:val="TextocomentarioCar"/>
    <w:uiPriority w:val="99"/>
    <w:unhideWhenUsed/>
    <w:rsid w:val="005F1CD1"/>
    <w:pPr>
      <w:spacing w:line="240" w:lineRule="auto"/>
    </w:pPr>
    <w:rPr>
      <w:sz w:val="20"/>
      <w:szCs w:val="20"/>
    </w:rPr>
  </w:style>
  <w:style w:type="character" w:customStyle="1" w:styleId="TextocomentarioCar">
    <w:name w:val="Texto comentario Car"/>
    <w:basedOn w:val="Fuentedeprrafopredeter"/>
    <w:link w:val="Textocomentario"/>
    <w:uiPriority w:val="99"/>
    <w:rsid w:val="005F1CD1"/>
    <w:rPr>
      <w:sz w:val="20"/>
      <w:szCs w:val="20"/>
    </w:rPr>
  </w:style>
  <w:style w:type="paragraph" w:styleId="Asuntodelcomentario">
    <w:name w:val="annotation subject"/>
    <w:basedOn w:val="Textocomentario"/>
    <w:next w:val="Textocomentario"/>
    <w:link w:val="AsuntodelcomentarioCar"/>
    <w:uiPriority w:val="99"/>
    <w:semiHidden/>
    <w:unhideWhenUsed/>
    <w:rsid w:val="005F1CD1"/>
    <w:rPr>
      <w:b/>
      <w:bCs/>
    </w:rPr>
  </w:style>
  <w:style w:type="character" w:customStyle="1" w:styleId="AsuntodelcomentarioCar">
    <w:name w:val="Asunto del comentario Car"/>
    <w:basedOn w:val="TextocomentarioCar"/>
    <w:link w:val="Asuntodelcomentario"/>
    <w:uiPriority w:val="99"/>
    <w:semiHidden/>
    <w:rsid w:val="005F1CD1"/>
    <w:rPr>
      <w:b/>
      <w:bCs/>
      <w:sz w:val="20"/>
      <w:szCs w:val="20"/>
    </w:rPr>
  </w:style>
  <w:style w:type="character" w:styleId="Textoennegrita">
    <w:name w:val="Strong"/>
    <w:basedOn w:val="Fuentedeprrafopredeter"/>
    <w:uiPriority w:val="22"/>
    <w:qFormat/>
    <w:rsid w:val="009D4492"/>
    <w:rPr>
      <w:b/>
      <w:bCs/>
    </w:rPr>
  </w:style>
  <w:style w:type="paragraph" w:styleId="NormalWeb">
    <w:name w:val="Normal (Web)"/>
    <w:basedOn w:val="Normal"/>
    <w:uiPriority w:val="99"/>
    <w:unhideWhenUsed/>
    <w:rsid w:val="00BD6D5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msonormal">
    <w:name w:val="x_msonormal"/>
    <w:basedOn w:val="Normal"/>
    <w:rsid w:val="00BD6D5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agraph">
    <w:name w:val="paragraph"/>
    <w:basedOn w:val="Normal"/>
    <w:rsid w:val="00CA32C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CA32C8"/>
  </w:style>
  <w:style w:type="character" w:customStyle="1" w:styleId="eop">
    <w:name w:val="eop"/>
    <w:basedOn w:val="Fuentedeprrafopredeter"/>
    <w:rsid w:val="00CA32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823358">
      <w:bodyDiv w:val="1"/>
      <w:marLeft w:val="0"/>
      <w:marRight w:val="0"/>
      <w:marTop w:val="0"/>
      <w:marBottom w:val="0"/>
      <w:divBdr>
        <w:top w:val="none" w:sz="0" w:space="0" w:color="auto"/>
        <w:left w:val="none" w:sz="0" w:space="0" w:color="auto"/>
        <w:bottom w:val="none" w:sz="0" w:space="0" w:color="auto"/>
        <w:right w:val="none" w:sz="0" w:space="0" w:color="auto"/>
      </w:divBdr>
      <w:divsChild>
        <w:div w:id="1178156342">
          <w:marLeft w:val="0"/>
          <w:marRight w:val="0"/>
          <w:marTop w:val="0"/>
          <w:marBottom w:val="0"/>
          <w:divBdr>
            <w:top w:val="none" w:sz="0" w:space="0" w:color="auto"/>
            <w:left w:val="none" w:sz="0" w:space="0" w:color="auto"/>
            <w:bottom w:val="none" w:sz="0" w:space="0" w:color="auto"/>
            <w:right w:val="none" w:sz="0" w:space="0" w:color="auto"/>
          </w:divBdr>
        </w:div>
        <w:div w:id="1767459469">
          <w:marLeft w:val="0"/>
          <w:marRight w:val="0"/>
          <w:marTop w:val="0"/>
          <w:marBottom w:val="0"/>
          <w:divBdr>
            <w:top w:val="none" w:sz="0" w:space="0" w:color="auto"/>
            <w:left w:val="none" w:sz="0" w:space="0" w:color="auto"/>
            <w:bottom w:val="none" w:sz="0" w:space="0" w:color="auto"/>
            <w:right w:val="none" w:sz="0" w:space="0" w:color="auto"/>
          </w:divBdr>
        </w:div>
        <w:div w:id="881215063">
          <w:marLeft w:val="0"/>
          <w:marRight w:val="0"/>
          <w:marTop w:val="0"/>
          <w:marBottom w:val="0"/>
          <w:divBdr>
            <w:top w:val="none" w:sz="0" w:space="0" w:color="auto"/>
            <w:left w:val="none" w:sz="0" w:space="0" w:color="auto"/>
            <w:bottom w:val="none" w:sz="0" w:space="0" w:color="auto"/>
            <w:right w:val="none" w:sz="0" w:space="0" w:color="auto"/>
          </w:divBdr>
        </w:div>
        <w:div w:id="34085574">
          <w:marLeft w:val="0"/>
          <w:marRight w:val="0"/>
          <w:marTop w:val="0"/>
          <w:marBottom w:val="0"/>
          <w:divBdr>
            <w:top w:val="none" w:sz="0" w:space="0" w:color="auto"/>
            <w:left w:val="none" w:sz="0" w:space="0" w:color="auto"/>
            <w:bottom w:val="none" w:sz="0" w:space="0" w:color="auto"/>
            <w:right w:val="none" w:sz="0" w:space="0" w:color="auto"/>
          </w:divBdr>
        </w:div>
        <w:div w:id="860970338">
          <w:marLeft w:val="0"/>
          <w:marRight w:val="0"/>
          <w:marTop w:val="0"/>
          <w:marBottom w:val="0"/>
          <w:divBdr>
            <w:top w:val="none" w:sz="0" w:space="0" w:color="auto"/>
            <w:left w:val="none" w:sz="0" w:space="0" w:color="auto"/>
            <w:bottom w:val="none" w:sz="0" w:space="0" w:color="auto"/>
            <w:right w:val="none" w:sz="0" w:space="0" w:color="auto"/>
          </w:divBdr>
        </w:div>
      </w:divsChild>
    </w:div>
    <w:div w:id="110010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prensa@caixabank.com" TargetMode="External"/><Relationship Id="rId2" Type="http://schemas.openxmlformats.org/officeDocument/2006/relationships/hyperlink" Target="mailto:prensa@caixabank.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E612E1D5EED9446B1B644310F12BDE8" ma:contentTypeVersion="13" ma:contentTypeDescription="Crear nuevo documento." ma:contentTypeScope="" ma:versionID="e47620f649295f065be62eada16d2dc8">
  <xsd:schema xmlns:xsd="http://www.w3.org/2001/XMLSchema" xmlns:xs="http://www.w3.org/2001/XMLSchema" xmlns:p="http://schemas.microsoft.com/office/2006/metadata/properties" xmlns:ns2="575c54e7-ca9e-4116-8947-4768a4515517" xmlns:ns3="8dce3211-707a-4495-a0b3-8fadb45f6b8d" targetNamespace="http://schemas.microsoft.com/office/2006/metadata/properties" ma:root="true" ma:fieldsID="0a6d7dea58beb7e7b10cf0f36cfabd78" ns2:_="" ns3:_="">
    <xsd:import namespace="575c54e7-ca9e-4116-8947-4768a4515517"/>
    <xsd:import namespace="8dce3211-707a-4495-a0b3-8fadb45f6b8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c54e7-ca9e-4116-8947-4768a4515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1bd88258-876d-47aa-8492-218c1c30083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ce3211-707a-4495-a0b3-8fadb45f6b8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95b6556-616e-440a-9e0d-ded07fec8131}" ma:internalName="TaxCatchAll" ma:showField="CatchAllData" ma:web="8dce3211-707a-4495-a0b3-8fadb45f6b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75c54e7-ca9e-4116-8947-4768a4515517">
      <Terms xmlns="http://schemas.microsoft.com/office/infopath/2007/PartnerControls"/>
    </lcf76f155ced4ddcb4097134ff3c332f>
    <TaxCatchAll xmlns="8dce3211-707a-4495-a0b3-8fadb45f6b8d" xsi:nil="true"/>
  </documentManagement>
</p:properties>
</file>

<file path=customXml/itemProps1.xml><?xml version="1.0" encoding="utf-8"?>
<ds:datastoreItem xmlns:ds="http://schemas.openxmlformats.org/officeDocument/2006/customXml" ds:itemID="{0887A3BF-CDA0-4BE3-8299-76AC5B1CAB68}">
  <ds:schemaRefs>
    <ds:schemaRef ds:uri="http://schemas.microsoft.com/sharepoint/v3/contenttype/forms"/>
  </ds:schemaRefs>
</ds:datastoreItem>
</file>

<file path=customXml/itemProps2.xml><?xml version="1.0" encoding="utf-8"?>
<ds:datastoreItem xmlns:ds="http://schemas.openxmlformats.org/officeDocument/2006/customXml" ds:itemID="{531810E6-BA25-480D-A47E-E4469DAFD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5c54e7-ca9e-4116-8947-4768a4515517"/>
    <ds:schemaRef ds:uri="8dce3211-707a-4495-a0b3-8fadb45f6b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6EFA71-1091-44DB-9F3B-72E37DC45BF3}">
  <ds:schemaRefs>
    <ds:schemaRef ds:uri="http://schemas.openxmlformats.org/officeDocument/2006/bibliography"/>
  </ds:schemaRefs>
</ds:datastoreItem>
</file>

<file path=customXml/itemProps4.xml><?xml version="1.0" encoding="utf-8"?>
<ds:datastoreItem xmlns:ds="http://schemas.openxmlformats.org/officeDocument/2006/customXml" ds:itemID="{097F24F3-B501-4A9B-9CBD-3B24C3D100EA}">
  <ds:schemaRefs>
    <ds:schemaRef ds:uri="http://schemas.microsoft.com/office/2006/metadata/properties"/>
    <ds:schemaRef ds:uri="http://schemas.microsoft.com/office/infopath/2007/PartnerControls"/>
    <ds:schemaRef ds:uri="575c54e7-ca9e-4116-8947-4768a4515517"/>
    <ds:schemaRef ds:uri="8dce3211-707a-4495-a0b3-8fadb45f6b8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883</Words>
  <Characters>4857</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Noelia Pino</dc:creator>
  <cp:keywords/>
  <dc:description/>
  <cp:lastModifiedBy>ELENA MARIA MARTIN EGEA</cp:lastModifiedBy>
  <cp:revision>3</cp:revision>
  <cp:lastPrinted>2026-01-26T09:06:00Z</cp:lastPrinted>
  <dcterms:created xsi:type="dcterms:W3CDTF">2026-01-26T11:10:00Z</dcterms:created>
  <dcterms:modified xsi:type="dcterms:W3CDTF">2026-01-26T11:17:00Z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2c11c9e-624c-4a75-9f78-0989052ff6ea_Enabled">
    <vt:lpwstr>true</vt:lpwstr>
  </property>
  <property fmtid="{D5CDD505-2E9C-101B-9397-08002B2CF9AE}" pid="3" name="MSIP_Label_c2c11c9e-624c-4a75-9f78-0989052ff6ea_SetDate">
    <vt:lpwstr>2022-09-12T12:11:05Z</vt:lpwstr>
  </property>
  <property fmtid="{D5CDD505-2E9C-101B-9397-08002B2CF9AE}" pid="4" name="MSIP_Label_c2c11c9e-624c-4a75-9f78-0989052ff6ea_Method">
    <vt:lpwstr>Standard</vt:lpwstr>
  </property>
  <property fmtid="{D5CDD505-2E9C-101B-9397-08002B2CF9AE}" pid="5" name="MSIP_Label_c2c11c9e-624c-4a75-9f78-0989052ff6ea_Name">
    <vt:lpwstr>c2c11c9e-624c-4a75-9f78-0989052ff6ea</vt:lpwstr>
  </property>
  <property fmtid="{D5CDD505-2E9C-101B-9397-08002B2CF9AE}" pid="6" name="MSIP_Label_c2c11c9e-624c-4a75-9f78-0989052ff6ea_SiteId">
    <vt:lpwstr>5df31d35-3ba9-481e-a3c8-ff9be3ee783b</vt:lpwstr>
  </property>
  <property fmtid="{D5CDD505-2E9C-101B-9397-08002B2CF9AE}" pid="7" name="MSIP_Label_c2c11c9e-624c-4a75-9f78-0989052ff6ea_ActionId">
    <vt:lpwstr>f42509b9-c4b9-45ea-b9b5-7713a7ee1d42</vt:lpwstr>
  </property>
  <property fmtid="{D5CDD505-2E9C-101B-9397-08002B2CF9AE}" pid="8" name="MSIP_Label_c2c11c9e-624c-4a75-9f78-0989052ff6ea_ContentBits">
    <vt:lpwstr>0</vt:lpwstr>
  </property>
  <property fmtid="{D5CDD505-2E9C-101B-9397-08002B2CF9AE}" pid="9" name="ContentTypeId">
    <vt:lpwstr>0x0101009E612E1D5EED9446B1B644310F12BDE8</vt:lpwstr>
  </property>
</Properties>
</file>