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03127" w14:textId="22812EBD" w:rsidR="008F4D94" w:rsidRDefault="008F4D94" w:rsidP="008F4D94">
      <w:pPr>
        <w:spacing w:line="240" w:lineRule="auto"/>
        <w:ind w:left="-426" w:right="-568"/>
        <w:rPr>
          <w:rFonts w:ascii="Arial" w:hAnsi="Arial" w:cs="Arial"/>
          <w:b/>
          <w:bCs/>
          <w:i/>
          <w:iCs/>
          <w:color w:val="009FEA"/>
          <w:sz w:val="32"/>
          <w:szCs w:val="32"/>
        </w:rPr>
      </w:pPr>
      <w:r w:rsidRPr="008F4D94">
        <w:rPr>
          <w:rFonts w:ascii="Arial" w:hAnsi="Arial" w:cs="Arial"/>
          <w:b/>
          <w:bCs/>
          <w:i/>
          <w:iCs/>
          <w:color w:val="009FEA"/>
          <w:sz w:val="32"/>
          <w:szCs w:val="32"/>
        </w:rPr>
        <w:t xml:space="preserve">CaixaBank impulsa la financiación empresarial en </w:t>
      </w:r>
      <w:r w:rsidR="008F40FF">
        <w:rPr>
          <w:rFonts w:ascii="Arial" w:hAnsi="Arial" w:cs="Arial"/>
          <w:b/>
          <w:bCs/>
          <w:i/>
          <w:iCs/>
          <w:color w:val="009FEA"/>
          <w:sz w:val="32"/>
          <w:szCs w:val="32"/>
        </w:rPr>
        <w:t>la Región de Murcia</w:t>
      </w:r>
      <w:r w:rsidRPr="008F4D94">
        <w:rPr>
          <w:rFonts w:ascii="Arial" w:hAnsi="Arial" w:cs="Arial"/>
          <w:b/>
          <w:bCs/>
          <w:i/>
          <w:iCs/>
          <w:color w:val="009FEA"/>
          <w:sz w:val="32"/>
          <w:szCs w:val="32"/>
        </w:rPr>
        <w:t xml:space="preserve"> con un crecimiento del </w:t>
      </w:r>
      <w:r w:rsidR="008F40FF">
        <w:rPr>
          <w:rFonts w:ascii="Arial" w:hAnsi="Arial" w:cs="Arial"/>
          <w:b/>
          <w:bCs/>
          <w:i/>
          <w:iCs/>
          <w:color w:val="009FEA"/>
          <w:sz w:val="32"/>
          <w:szCs w:val="32"/>
        </w:rPr>
        <w:t>15</w:t>
      </w:r>
      <w:r w:rsidRPr="008F4D94">
        <w:rPr>
          <w:rFonts w:ascii="Arial" w:hAnsi="Arial" w:cs="Arial"/>
          <w:b/>
          <w:bCs/>
          <w:i/>
          <w:iCs/>
          <w:color w:val="009FEA"/>
          <w:sz w:val="32"/>
          <w:szCs w:val="32"/>
        </w:rPr>
        <w:t>% en el primer semestre</w:t>
      </w:r>
    </w:p>
    <w:p w14:paraId="6938C378" w14:textId="77777777" w:rsidR="008F4D94" w:rsidRPr="008F4D94" w:rsidRDefault="008F4D94" w:rsidP="008F4D94">
      <w:pPr>
        <w:pStyle w:val="Prrafobsico"/>
        <w:suppressAutoHyphens/>
        <w:spacing w:line="276" w:lineRule="auto"/>
        <w:jc w:val="both"/>
        <w:rPr>
          <w:rFonts w:ascii="Arial" w:hAnsi="Arial" w:cs="Arial"/>
          <w:b/>
          <w:i/>
          <w:iCs/>
          <w:lang w:val="es-ES"/>
        </w:rPr>
      </w:pPr>
    </w:p>
    <w:p w14:paraId="312E842B" w14:textId="4A1A25DE" w:rsidR="005459BA" w:rsidRDefault="008F4D94" w:rsidP="008F4D94">
      <w:pPr>
        <w:pStyle w:val="Prrafobsico"/>
        <w:suppressAutoHyphens/>
        <w:spacing w:line="276" w:lineRule="auto"/>
        <w:ind w:left="-426"/>
        <w:jc w:val="both"/>
        <w:textAlignment w:val="auto"/>
        <w:rPr>
          <w:rFonts w:ascii="Arial" w:hAnsi="Arial" w:cs="Arial"/>
          <w:b/>
          <w:i/>
          <w:iCs/>
          <w:lang w:val="es-ES"/>
        </w:rPr>
      </w:pPr>
      <w:r w:rsidRPr="008F4D94">
        <w:rPr>
          <w:rFonts w:ascii="Arial" w:hAnsi="Arial" w:cs="Arial"/>
          <w:b/>
          <w:i/>
          <w:iCs/>
          <w:lang w:val="es-ES"/>
        </w:rPr>
        <w:t xml:space="preserve">• La entidad ha formalizado más de </w:t>
      </w:r>
      <w:r w:rsidR="008F40FF">
        <w:rPr>
          <w:rFonts w:ascii="Arial" w:hAnsi="Arial" w:cs="Arial"/>
          <w:b/>
          <w:i/>
          <w:iCs/>
          <w:lang w:val="es-ES"/>
        </w:rPr>
        <w:t>2.960</w:t>
      </w:r>
      <w:r w:rsidRPr="008F4D94">
        <w:rPr>
          <w:rFonts w:ascii="Arial" w:hAnsi="Arial" w:cs="Arial"/>
          <w:b/>
          <w:i/>
          <w:iCs/>
          <w:lang w:val="es-ES"/>
        </w:rPr>
        <w:t xml:space="preserve"> operaciones de crédito dirigidas a empresas de </w:t>
      </w:r>
      <w:r w:rsidR="008F40FF">
        <w:rPr>
          <w:rFonts w:ascii="Arial" w:hAnsi="Arial" w:cs="Arial"/>
          <w:b/>
          <w:i/>
          <w:iCs/>
          <w:lang w:val="es-ES"/>
        </w:rPr>
        <w:t>la Región de Murcia</w:t>
      </w:r>
      <w:r w:rsidRPr="008F4D94">
        <w:rPr>
          <w:rFonts w:ascii="Arial" w:hAnsi="Arial" w:cs="Arial"/>
          <w:b/>
          <w:i/>
          <w:iCs/>
          <w:lang w:val="es-ES"/>
        </w:rPr>
        <w:t xml:space="preserve"> durante los seis primeros meses del año, con el objetivo de proporcionar liquidez para su operativa diaria y respaldar sus planes de inversión y expansión.</w:t>
      </w:r>
    </w:p>
    <w:p w14:paraId="7DA29047" w14:textId="77777777" w:rsidR="008F4D94" w:rsidRPr="0017053A" w:rsidRDefault="008F4D94" w:rsidP="008F4D94">
      <w:pPr>
        <w:pStyle w:val="Prrafobsico"/>
        <w:suppressAutoHyphens/>
        <w:spacing w:line="276" w:lineRule="auto"/>
        <w:jc w:val="both"/>
        <w:textAlignment w:val="auto"/>
        <w:rPr>
          <w:rFonts w:ascii="Arial" w:hAnsi="Arial" w:cs="Arial"/>
          <w:b/>
          <w:i/>
          <w:iCs/>
          <w:sz w:val="28"/>
          <w:szCs w:val="28"/>
          <w:lang w:val="es-ES"/>
        </w:rPr>
      </w:pPr>
    </w:p>
    <w:p w14:paraId="7895ED3F" w14:textId="24F358D7" w:rsidR="008F4D94" w:rsidRDefault="008F4D94" w:rsidP="008F4D94">
      <w:pPr>
        <w:spacing w:after="0" w:line="276" w:lineRule="auto"/>
        <w:ind w:left="-426"/>
        <w:jc w:val="both"/>
        <w:rPr>
          <w:rFonts w:ascii="Arial" w:eastAsiaTheme="minorEastAsia" w:hAnsi="Arial" w:cs="Arial"/>
          <w:b/>
          <w:i/>
          <w:iCs/>
          <w:color w:val="000000"/>
          <w:sz w:val="24"/>
          <w:szCs w:val="24"/>
          <w:lang w:eastAsia="es-ES"/>
        </w:rPr>
      </w:pPr>
      <w:r w:rsidRPr="008F4D94">
        <w:rPr>
          <w:rFonts w:ascii="Arial" w:eastAsiaTheme="minorEastAsia" w:hAnsi="Arial" w:cs="Arial"/>
          <w:b/>
          <w:i/>
          <w:iCs/>
          <w:color w:val="000000"/>
          <w:sz w:val="24"/>
          <w:szCs w:val="24"/>
          <w:lang w:eastAsia="es-ES"/>
        </w:rPr>
        <w:t xml:space="preserve">• CaixaBank pone a disposición de las empresas de </w:t>
      </w:r>
      <w:r w:rsidR="008F40FF">
        <w:rPr>
          <w:rFonts w:ascii="Arial" w:eastAsiaTheme="minorEastAsia" w:hAnsi="Arial" w:cs="Arial"/>
          <w:b/>
          <w:i/>
          <w:iCs/>
          <w:color w:val="000000"/>
          <w:sz w:val="24"/>
          <w:szCs w:val="24"/>
          <w:lang w:eastAsia="es-ES"/>
        </w:rPr>
        <w:t>la Región de Murcia</w:t>
      </w:r>
      <w:r w:rsidRPr="008F4D94">
        <w:rPr>
          <w:rFonts w:ascii="Arial" w:eastAsiaTheme="minorEastAsia" w:hAnsi="Arial" w:cs="Arial"/>
          <w:b/>
          <w:i/>
          <w:iCs/>
          <w:color w:val="000000"/>
          <w:sz w:val="24"/>
          <w:szCs w:val="24"/>
          <w:lang w:eastAsia="es-ES"/>
        </w:rPr>
        <w:t xml:space="preserve"> una red de </w:t>
      </w:r>
      <w:r w:rsidR="00431384">
        <w:rPr>
          <w:rFonts w:ascii="Arial" w:eastAsiaTheme="minorEastAsia" w:hAnsi="Arial" w:cs="Arial"/>
          <w:b/>
          <w:i/>
          <w:iCs/>
          <w:color w:val="000000"/>
          <w:sz w:val="24"/>
          <w:szCs w:val="24"/>
          <w:lang w:eastAsia="es-ES"/>
        </w:rPr>
        <w:t>8</w:t>
      </w:r>
      <w:r w:rsidRPr="008F4D94">
        <w:rPr>
          <w:rFonts w:ascii="Arial" w:eastAsiaTheme="minorEastAsia" w:hAnsi="Arial" w:cs="Arial"/>
          <w:b/>
          <w:i/>
          <w:iCs/>
          <w:color w:val="000000"/>
          <w:sz w:val="24"/>
          <w:szCs w:val="24"/>
          <w:lang w:eastAsia="es-ES"/>
        </w:rPr>
        <w:t xml:space="preserve"> centros y oficinas especializadas que ofrecen atención personalizada.</w:t>
      </w:r>
    </w:p>
    <w:p w14:paraId="74A54904" w14:textId="77777777" w:rsidR="008F4D94" w:rsidRPr="0017053A" w:rsidRDefault="008F4D94" w:rsidP="008F4D94">
      <w:pPr>
        <w:spacing w:after="0" w:line="276" w:lineRule="auto"/>
        <w:ind w:left="-426"/>
        <w:jc w:val="both"/>
        <w:rPr>
          <w:rFonts w:ascii="Arial" w:eastAsiaTheme="minorEastAsia" w:hAnsi="Arial" w:cs="Arial"/>
          <w:b/>
          <w:i/>
          <w:iCs/>
          <w:color w:val="000000"/>
          <w:sz w:val="28"/>
          <w:szCs w:val="28"/>
          <w:lang w:eastAsia="es-ES"/>
        </w:rPr>
      </w:pPr>
    </w:p>
    <w:p w14:paraId="62B18EF3" w14:textId="1537E2FD" w:rsidR="005459BA" w:rsidRDefault="008F4D94" w:rsidP="008F4D94">
      <w:pPr>
        <w:spacing w:after="0" w:line="276" w:lineRule="auto"/>
        <w:ind w:left="-426"/>
        <w:jc w:val="both"/>
        <w:rPr>
          <w:rFonts w:ascii="Arial" w:hAnsi="Arial" w:cs="Arial"/>
        </w:rPr>
      </w:pPr>
      <w:r w:rsidRPr="008F4D94">
        <w:rPr>
          <w:rFonts w:ascii="Arial" w:eastAsiaTheme="minorEastAsia" w:hAnsi="Arial" w:cs="Arial"/>
          <w:b/>
          <w:i/>
          <w:iCs/>
          <w:color w:val="000000"/>
          <w:sz w:val="24"/>
          <w:szCs w:val="24"/>
          <w:lang w:eastAsia="es-ES"/>
        </w:rPr>
        <w:t xml:space="preserve">• </w:t>
      </w:r>
      <w:r w:rsidRPr="008F40FF">
        <w:rPr>
          <w:rFonts w:ascii="Arial" w:eastAsiaTheme="minorEastAsia" w:hAnsi="Arial" w:cs="Arial"/>
          <w:b/>
          <w:i/>
          <w:iCs/>
          <w:color w:val="000000"/>
          <w:sz w:val="24"/>
          <w:szCs w:val="24"/>
          <w:lang w:eastAsia="es-ES"/>
        </w:rPr>
        <w:t>La directora</w:t>
      </w:r>
      <w:r w:rsidRPr="008F4D94">
        <w:rPr>
          <w:rFonts w:ascii="Arial" w:eastAsiaTheme="minorEastAsia" w:hAnsi="Arial" w:cs="Arial"/>
          <w:b/>
          <w:i/>
          <w:iCs/>
          <w:color w:val="000000"/>
          <w:sz w:val="24"/>
          <w:szCs w:val="24"/>
          <w:lang w:eastAsia="es-ES"/>
        </w:rPr>
        <w:t xml:space="preserve"> territorial de CaixaBank en </w:t>
      </w:r>
      <w:r w:rsidR="008F40FF">
        <w:rPr>
          <w:rFonts w:ascii="Arial" w:eastAsiaTheme="minorEastAsia" w:hAnsi="Arial" w:cs="Arial"/>
          <w:b/>
          <w:i/>
          <w:iCs/>
          <w:color w:val="000000"/>
          <w:sz w:val="24"/>
          <w:szCs w:val="24"/>
          <w:lang w:eastAsia="es-ES"/>
        </w:rPr>
        <w:t>la Región de Murcia</w:t>
      </w:r>
      <w:r w:rsidRPr="008F40FF">
        <w:rPr>
          <w:rFonts w:ascii="Arial" w:eastAsiaTheme="minorEastAsia" w:hAnsi="Arial" w:cs="Arial"/>
          <w:b/>
          <w:i/>
          <w:iCs/>
          <w:color w:val="000000"/>
          <w:sz w:val="24"/>
          <w:szCs w:val="24"/>
          <w:lang w:eastAsia="es-ES"/>
        </w:rPr>
        <w:t>,</w:t>
      </w:r>
      <w:r w:rsidR="008F40FF" w:rsidRPr="008F40FF">
        <w:rPr>
          <w:rFonts w:ascii="Arial" w:eastAsiaTheme="minorEastAsia" w:hAnsi="Arial" w:cs="Arial"/>
          <w:b/>
          <w:i/>
          <w:iCs/>
          <w:color w:val="000000"/>
          <w:sz w:val="24"/>
          <w:szCs w:val="24"/>
          <w:lang w:eastAsia="es-ES"/>
        </w:rPr>
        <w:t xml:space="preserve"> Olga García Saz</w:t>
      </w:r>
      <w:r w:rsidRPr="008F4D94">
        <w:rPr>
          <w:rFonts w:ascii="Arial" w:eastAsiaTheme="minorEastAsia" w:hAnsi="Arial" w:cs="Arial"/>
          <w:b/>
          <w:i/>
          <w:iCs/>
          <w:color w:val="000000"/>
          <w:sz w:val="24"/>
          <w:szCs w:val="24"/>
          <w:lang w:eastAsia="es-ES"/>
        </w:rPr>
        <w:t xml:space="preserve">, ha destacado “el firme compromiso de la entidad con el tejido empresarial, </w:t>
      </w:r>
      <w:r>
        <w:rPr>
          <w:rFonts w:ascii="Arial" w:eastAsiaTheme="minorEastAsia" w:hAnsi="Arial" w:cs="Arial"/>
          <w:b/>
          <w:i/>
          <w:iCs/>
          <w:color w:val="000000"/>
          <w:sz w:val="24"/>
          <w:szCs w:val="24"/>
          <w:lang w:eastAsia="es-ES"/>
        </w:rPr>
        <w:t xml:space="preserve">clave para el empleo y la generación de riqueza y, por tanto, un </w:t>
      </w:r>
      <w:r w:rsidRPr="008F4D94">
        <w:rPr>
          <w:rFonts w:ascii="Arial" w:eastAsiaTheme="minorEastAsia" w:hAnsi="Arial" w:cs="Arial"/>
          <w:b/>
          <w:i/>
          <w:iCs/>
          <w:color w:val="000000"/>
          <w:sz w:val="24"/>
          <w:szCs w:val="24"/>
          <w:lang w:eastAsia="es-ES"/>
        </w:rPr>
        <w:t>motor esencial del desarrollo económico y social</w:t>
      </w:r>
      <w:r>
        <w:rPr>
          <w:rFonts w:ascii="Arial" w:eastAsiaTheme="minorEastAsia" w:hAnsi="Arial" w:cs="Arial"/>
          <w:b/>
          <w:i/>
          <w:iCs/>
          <w:color w:val="000000"/>
          <w:sz w:val="24"/>
          <w:szCs w:val="24"/>
          <w:lang w:eastAsia="es-ES"/>
        </w:rPr>
        <w:t xml:space="preserve"> de nuestro territorio</w:t>
      </w:r>
      <w:r w:rsidRPr="008F4D94">
        <w:rPr>
          <w:rFonts w:ascii="Arial" w:eastAsiaTheme="minorEastAsia" w:hAnsi="Arial" w:cs="Arial"/>
          <w:b/>
          <w:i/>
          <w:iCs/>
          <w:color w:val="000000"/>
          <w:sz w:val="24"/>
          <w:szCs w:val="24"/>
          <w:lang w:eastAsia="es-ES"/>
        </w:rPr>
        <w:t>”.</w:t>
      </w:r>
    </w:p>
    <w:p w14:paraId="50C5E8CD" w14:textId="77777777" w:rsidR="005459BA" w:rsidRDefault="005459BA" w:rsidP="008F4D94">
      <w:pPr>
        <w:spacing w:after="0" w:line="276" w:lineRule="auto"/>
        <w:ind w:left="-426"/>
        <w:jc w:val="both"/>
        <w:rPr>
          <w:rFonts w:ascii="Arial" w:hAnsi="Arial" w:cs="Arial"/>
        </w:rPr>
      </w:pPr>
    </w:p>
    <w:p w14:paraId="7B76773A" w14:textId="77777777" w:rsidR="008F4D94" w:rsidRPr="00C010B8" w:rsidRDefault="008F4D94" w:rsidP="008F4D94">
      <w:pPr>
        <w:spacing w:after="0" w:line="276" w:lineRule="auto"/>
        <w:ind w:left="-426"/>
        <w:jc w:val="both"/>
        <w:rPr>
          <w:rFonts w:ascii="Arial" w:hAnsi="Arial" w:cs="Arial"/>
        </w:rPr>
      </w:pPr>
    </w:p>
    <w:p w14:paraId="5380E939" w14:textId="3DF7D8CE" w:rsidR="005459BA" w:rsidRDefault="008F40FF" w:rsidP="008F4D94">
      <w:pPr>
        <w:spacing w:line="240" w:lineRule="auto"/>
        <w:ind w:left="-426"/>
        <w:jc w:val="both"/>
        <w:rPr>
          <w:rFonts w:ascii="Arial" w:hAnsi="Arial" w:cs="Arial"/>
          <w:b/>
          <w:bCs/>
        </w:rPr>
      </w:pPr>
      <w:r w:rsidRPr="00DA4325">
        <w:rPr>
          <w:rFonts w:ascii="Arial" w:hAnsi="Arial" w:cs="Arial"/>
          <w:b/>
          <w:bCs/>
        </w:rPr>
        <w:t>Murcia</w:t>
      </w:r>
      <w:r w:rsidR="005459BA" w:rsidRPr="00DA4325">
        <w:rPr>
          <w:rFonts w:ascii="Arial" w:hAnsi="Arial" w:cs="Arial"/>
          <w:b/>
          <w:bCs/>
        </w:rPr>
        <w:t>,</w:t>
      </w:r>
      <w:r w:rsidR="005459BA">
        <w:rPr>
          <w:rFonts w:ascii="Arial" w:hAnsi="Arial" w:cs="Arial"/>
          <w:b/>
          <w:bCs/>
        </w:rPr>
        <w:t xml:space="preserve"> </w:t>
      </w:r>
      <w:r>
        <w:rPr>
          <w:rFonts w:ascii="Arial" w:hAnsi="Arial" w:cs="Arial"/>
          <w:b/>
          <w:bCs/>
        </w:rPr>
        <w:t>13</w:t>
      </w:r>
      <w:r w:rsidR="005459BA">
        <w:rPr>
          <w:rFonts w:ascii="Arial" w:hAnsi="Arial" w:cs="Arial"/>
          <w:b/>
          <w:bCs/>
        </w:rPr>
        <w:t xml:space="preserve"> de agosto de </w:t>
      </w:r>
      <w:r w:rsidR="008F4D94">
        <w:rPr>
          <w:rFonts w:ascii="Arial" w:hAnsi="Arial" w:cs="Arial"/>
          <w:b/>
          <w:bCs/>
        </w:rPr>
        <w:t>2025</w:t>
      </w:r>
    </w:p>
    <w:p w14:paraId="40919838" w14:textId="77777777" w:rsidR="0017053A" w:rsidRPr="0017053A" w:rsidRDefault="0017053A" w:rsidP="008F4D94">
      <w:pPr>
        <w:spacing w:line="240" w:lineRule="auto"/>
        <w:ind w:left="-426"/>
        <w:jc w:val="both"/>
        <w:rPr>
          <w:rFonts w:ascii="Arial" w:hAnsi="Arial" w:cs="Arial"/>
          <w:b/>
          <w:bCs/>
          <w:sz w:val="6"/>
          <w:szCs w:val="6"/>
        </w:rPr>
      </w:pPr>
    </w:p>
    <w:p w14:paraId="3198188A" w14:textId="32BA8454" w:rsidR="008F4D94" w:rsidRPr="008F4D94" w:rsidRDefault="008F4D94" w:rsidP="008F4D94">
      <w:pPr>
        <w:pStyle w:val="Prrafobsico"/>
        <w:spacing w:before="227" w:line="276" w:lineRule="auto"/>
        <w:ind w:left="-426"/>
        <w:jc w:val="both"/>
        <w:rPr>
          <w:rFonts w:ascii="Arial" w:hAnsi="Arial" w:cs="Arial"/>
          <w:sz w:val="22"/>
          <w:szCs w:val="22"/>
        </w:rPr>
      </w:pPr>
      <w:bookmarkStart w:id="0" w:name="_Hlk190258110"/>
      <w:r w:rsidRPr="008F4D94">
        <w:rPr>
          <w:rFonts w:ascii="Arial" w:hAnsi="Arial" w:cs="Arial"/>
          <w:sz w:val="22"/>
          <w:szCs w:val="22"/>
        </w:rPr>
        <w:t xml:space="preserve">CaixaBank ha destinado </w:t>
      </w:r>
      <w:r w:rsidR="008F40FF">
        <w:rPr>
          <w:rFonts w:ascii="Arial" w:hAnsi="Arial" w:cs="Arial"/>
          <w:sz w:val="22"/>
          <w:szCs w:val="22"/>
        </w:rPr>
        <w:t>704</w:t>
      </w:r>
      <w:r w:rsidRPr="008F4D94">
        <w:rPr>
          <w:rFonts w:ascii="Arial" w:hAnsi="Arial" w:cs="Arial"/>
          <w:sz w:val="22"/>
          <w:szCs w:val="22"/>
        </w:rPr>
        <w:t xml:space="preserve"> millones de euros a la financiación de empresas en</w:t>
      </w:r>
      <w:r w:rsidR="008F40FF">
        <w:rPr>
          <w:rFonts w:ascii="Arial" w:hAnsi="Arial" w:cs="Arial"/>
          <w:sz w:val="22"/>
          <w:szCs w:val="22"/>
        </w:rPr>
        <w:t xml:space="preserve"> la Región de Murcia</w:t>
      </w:r>
      <w:r>
        <w:rPr>
          <w:rFonts w:ascii="Arial" w:hAnsi="Arial" w:cs="Arial"/>
          <w:sz w:val="22"/>
          <w:szCs w:val="22"/>
        </w:rPr>
        <w:t xml:space="preserve"> d</w:t>
      </w:r>
      <w:r w:rsidRPr="008F4D94">
        <w:rPr>
          <w:rFonts w:ascii="Arial" w:hAnsi="Arial" w:cs="Arial"/>
          <w:sz w:val="22"/>
          <w:szCs w:val="22"/>
        </w:rPr>
        <w:t>urante el primer semestre de 202</w:t>
      </w:r>
      <w:r>
        <w:rPr>
          <w:rFonts w:ascii="Arial" w:hAnsi="Arial" w:cs="Arial"/>
          <w:sz w:val="22"/>
          <w:szCs w:val="22"/>
        </w:rPr>
        <w:t>5</w:t>
      </w:r>
      <w:r w:rsidRPr="008F4D94">
        <w:rPr>
          <w:rFonts w:ascii="Arial" w:hAnsi="Arial" w:cs="Arial"/>
          <w:sz w:val="22"/>
          <w:szCs w:val="22"/>
        </w:rPr>
        <w:t xml:space="preserve">, lo que representa un incremento del </w:t>
      </w:r>
      <w:r w:rsidR="008F40FF" w:rsidRPr="00DA4325">
        <w:rPr>
          <w:rFonts w:ascii="Arial" w:hAnsi="Arial" w:cs="Arial"/>
          <w:sz w:val="22"/>
          <w:szCs w:val="22"/>
        </w:rPr>
        <w:t>15</w:t>
      </w:r>
      <w:r w:rsidRPr="00DA4325">
        <w:rPr>
          <w:rFonts w:ascii="Arial" w:hAnsi="Arial" w:cs="Arial"/>
          <w:sz w:val="22"/>
          <w:szCs w:val="22"/>
        </w:rPr>
        <w:t>%</w:t>
      </w:r>
      <w:r w:rsidRPr="008F4D94">
        <w:rPr>
          <w:rFonts w:ascii="Arial" w:hAnsi="Arial" w:cs="Arial"/>
          <w:sz w:val="22"/>
          <w:szCs w:val="22"/>
        </w:rPr>
        <w:t xml:space="preserve"> respecto al mismo periodo del año anterior. Este volumen de financiación se ha canalizado a través de </w:t>
      </w:r>
      <w:r w:rsidR="008F40FF">
        <w:rPr>
          <w:rFonts w:ascii="Arial" w:hAnsi="Arial" w:cs="Arial"/>
          <w:sz w:val="22"/>
          <w:szCs w:val="22"/>
        </w:rPr>
        <w:t>2.961</w:t>
      </w:r>
      <w:r w:rsidRPr="008F4D94">
        <w:rPr>
          <w:rFonts w:ascii="Arial" w:hAnsi="Arial" w:cs="Arial"/>
          <w:sz w:val="22"/>
          <w:szCs w:val="22"/>
        </w:rPr>
        <w:t xml:space="preserve"> operaciones, un </w:t>
      </w:r>
      <w:r w:rsidR="008F40FF">
        <w:rPr>
          <w:rFonts w:ascii="Arial" w:hAnsi="Arial" w:cs="Arial"/>
          <w:sz w:val="22"/>
          <w:szCs w:val="22"/>
        </w:rPr>
        <w:t>11</w:t>
      </w:r>
      <w:r w:rsidRPr="008F4D94">
        <w:rPr>
          <w:rFonts w:ascii="Arial" w:hAnsi="Arial" w:cs="Arial"/>
          <w:sz w:val="22"/>
          <w:szCs w:val="22"/>
        </w:rPr>
        <w:t>% más que en los primeros seis meses del ejercicio anterior.</w:t>
      </w:r>
    </w:p>
    <w:p w14:paraId="32F22500" w14:textId="3894A1F7" w:rsidR="008F4D94" w:rsidRDefault="008F4D94" w:rsidP="008F4D94">
      <w:pPr>
        <w:pStyle w:val="Prrafobsico"/>
        <w:spacing w:before="227" w:line="276" w:lineRule="auto"/>
        <w:ind w:left="-426"/>
        <w:jc w:val="both"/>
        <w:rPr>
          <w:rFonts w:ascii="Arial" w:hAnsi="Arial" w:cs="Arial"/>
          <w:sz w:val="22"/>
          <w:szCs w:val="22"/>
        </w:rPr>
      </w:pPr>
      <w:r w:rsidRPr="008F4D94">
        <w:rPr>
          <w:rFonts w:ascii="Arial" w:hAnsi="Arial" w:cs="Arial"/>
          <w:sz w:val="22"/>
          <w:szCs w:val="22"/>
        </w:rPr>
        <w:t xml:space="preserve">Los fondos han sido dirigidos principalmente a pequeñas, medianas y grandes empresas de </w:t>
      </w:r>
      <w:r w:rsidR="008F40FF">
        <w:rPr>
          <w:rFonts w:ascii="Arial" w:hAnsi="Arial" w:cs="Arial"/>
          <w:sz w:val="22"/>
          <w:szCs w:val="22"/>
        </w:rPr>
        <w:t>la Región de Murcia</w:t>
      </w:r>
      <w:r w:rsidRPr="008F4D94">
        <w:rPr>
          <w:rFonts w:ascii="Arial" w:hAnsi="Arial" w:cs="Arial"/>
          <w:sz w:val="22"/>
          <w:szCs w:val="22"/>
        </w:rPr>
        <w:t>, con el propósito de reforzar su liquidez y apoyar sus inversiones estratégicas. Además, CaixaBank ofrece soluciones financieras especializadas como factoring, confirming y renting, adaptadas tanto a las necesidades de circulante como a los proyectos a largo plazo.</w:t>
      </w:r>
    </w:p>
    <w:p w14:paraId="78A367D4" w14:textId="77777777" w:rsidR="008F4D94" w:rsidRDefault="008F4D94" w:rsidP="008F4D94">
      <w:pPr>
        <w:spacing w:after="0" w:line="276" w:lineRule="auto"/>
        <w:ind w:left="-426"/>
        <w:jc w:val="both"/>
        <w:rPr>
          <w:rFonts w:ascii="Arial" w:hAnsi="Arial" w:cs="Arial"/>
        </w:rPr>
      </w:pPr>
    </w:p>
    <w:p w14:paraId="1BFAB5C8" w14:textId="7F047F30" w:rsidR="008F4D94" w:rsidRDefault="008F4D94" w:rsidP="008F4D94">
      <w:pPr>
        <w:spacing w:after="0" w:line="276" w:lineRule="auto"/>
        <w:ind w:left="-426"/>
        <w:jc w:val="both"/>
        <w:rPr>
          <w:rFonts w:ascii="Arial" w:eastAsiaTheme="minorEastAsia" w:hAnsi="Arial" w:cs="Arial"/>
          <w:b/>
          <w:i/>
          <w:iCs/>
          <w:color w:val="000000"/>
          <w:sz w:val="24"/>
          <w:szCs w:val="24"/>
          <w:lang w:eastAsia="es-ES"/>
        </w:rPr>
      </w:pPr>
      <w:r w:rsidRPr="008F40FF">
        <w:rPr>
          <w:rFonts w:ascii="Arial" w:hAnsi="Arial" w:cs="Arial"/>
        </w:rPr>
        <w:t>La directora territorial</w:t>
      </w:r>
      <w:r w:rsidRPr="008F4D94">
        <w:rPr>
          <w:rFonts w:ascii="Arial" w:hAnsi="Arial" w:cs="Arial"/>
        </w:rPr>
        <w:t xml:space="preserve"> de CaixaBank en </w:t>
      </w:r>
      <w:r w:rsidR="008F40FF">
        <w:rPr>
          <w:rFonts w:ascii="Arial" w:hAnsi="Arial" w:cs="Arial"/>
        </w:rPr>
        <w:t>la Región de Murcia, Olga García Saz,</w:t>
      </w:r>
      <w:r w:rsidRPr="008F4D94">
        <w:rPr>
          <w:rFonts w:ascii="Arial" w:hAnsi="Arial" w:cs="Arial"/>
        </w:rPr>
        <w:t xml:space="preserve"> ha subrayado que “las empresas son clave para el empleo y la generación de riqueza y, por tanto, un motor esencial del desarrollo económico y social de nuestro territorio”.</w:t>
      </w:r>
      <w:r>
        <w:rPr>
          <w:rFonts w:ascii="Arial" w:hAnsi="Arial" w:cs="Arial"/>
        </w:rPr>
        <w:t xml:space="preserve"> </w:t>
      </w:r>
      <w:r w:rsidR="008F40FF">
        <w:rPr>
          <w:rFonts w:ascii="Arial" w:hAnsi="Arial" w:cs="Arial"/>
        </w:rPr>
        <w:t>García</w:t>
      </w:r>
      <w:r>
        <w:rPr>
          <w:rFonts w:ascii="Arial" w:hAnsi="Arial" w:cs="Arial"/>
        </w:rPr>
        <w:t xml:space="preserve"> ha destacado la “solidez de nuestro</w:t>
      </w:r>
      <w:r w:rsidRPr="008F4D94">
        <w:rPr>
          <w:rFonts w:ascii="Arial" w:hAnsi="Arial" w:cs="Arial"/>
        </w:rPr>
        <w:t xml:space="preserve"> compromiso con ellas, </w:t>
      </w:r>
      <w:r>
        <w:rPr>
          <w:rFonts w:ascii="Arial" w:hAnsi="Arial" w:cs="Arial"/>
        </w:rPr>
        <w:t xml:space="preserve">a quienes acompañamos </w:t>
      </w:r>
      <w:r w:rsidRPr="008F4D94">
        <w:rPr>
          <w:rFonts w:ascii="Arial" w:hAnsi="Arial" w:cs="Arial"/>
        </w:rPr>
        <w:t>en su día a día con asesoramiento experto y apoyo constante”</w:t>
      </w:r>
      <w:r w:rsidRPr="008F4D94">
        <w:rPr>
          <w:rFonts w:ascii="Arial" w:eastAsiaTheme="minorEastAsia" w:hAnsi="Arial" w:cs="Arial"/>
          <w:b/>
          <w:i/>
          <w:iCs/>
          <w:color w:val="000000"/>
          <w:sz w:val="24"/>
          <w:szCs w:val="24"/>
          <w:lang w:eastAsia="es-ES"/>
        </w:rPr>
        <w:t xml:space="preserve"> </w:t>
      </w:r>
    </w:p>
    <w:p w14:paraId="4CD6594A" w14:textId="77777777" w:rsidR="008F4D94" w:rsidRDefault="008F4D94" w:rsidP="008F4D94">
      <w:pPr>
        <w:spacing w:after="0" w:line="276" w:lineRule="auto"/>
        <w:ind w:left="-426"/>
        <w:jc w:val="both"/>
        <w:rPr>
          <w:rFonts w:ascii="Arial" w:hAnsi="Arial" w:cs="Arial"/>
        </w:rPr>
      </w:pPr>
    </w:p>
    <w:p w14:paraId="3405B3BD" w14:textId="77777777" w:rsidR="008F4D94" w:rsidRPr="000E2BFA" w:rsidRDefault="008F4D94" w:rsidP="008F4D94">
      <w:pPr>
        <w:pStyle w:val="Prrafobsico"/>
        <w:spacing w:before="227" w:line="276" w:lineRule="auto"/>
        <w:ind w:left="-426"/>
        <w:jc w:val="both"/>
        <w:rPr>
          <w:rFonts w:ascii="Arial" w:hAnsi="Arial" w:cs="Arial"/>
          <w:color w:val="auto"/>
          <w:sz w:val="22"/>
          <w:szCs w:val="22"/>
        </w:rPr>
      </w:pPr>
      <w:r w:rsidRPr="000E2BFA">
        <w:rPr>
          <w:rFonts w:ascii="Arial" w:hAnsi="Arial" w:cs="Arial"/>
          <w:color w:val="auto"/>
          <w:sz w:val="22"/>
          <w:szCs w:val="22"/>
        </w:rPr>
        <w:lastRenderedPageBreak/>
        <w:t>Asimismo, CaixaBank pone a disposición de sus clientes empresariales el Plan de Estímulo a la Inversión, mediante el cual un equipo de especialistas analiza la situación de cada empresa para ofrecer financiación a medida que impulse su competitividad y crecimiento.</w:t>
      </w:r>
    </w:p>
    <w:p w14:paraId="3148DB25" w14:textId="79D44BFC" w:rsidR="008F4D94" w:rsidRPr="008F4D94" w:rsidRDefault="008F4D94" w:rsidP="008F4D94">
      <w:pPr>
        <w:pStyle w:val="Prrafobsico"/>
        <w:spacing w:before="227" w:line="276" w:lineRule="auto"/>
        <w:ind w:left="-426"/>
        <w:jc w:val="both"/>
        <w:rPr>
          <w:rFonts w:ascii="Arial" w:hAnsi="Arial" w:cs="Arial"/>
          <w:sz w:val="22"/>
          <w:szCs w:val="22"/>
        </w:rPr>
      </w:pPr>
      <w:r w:rsidRPr="008F4D94">
        <w:rPr>
          <w:rFonts w:ascii="Arial" w:hAnsi="Arial" w:cs="Arial"/>
          <w:sz w:val="22"/>
          <w:szCs w:val="22"/>
        </w:rPr>
        <w:t xml:space="preserve">En </w:t>
      </w:r>
      <w:r w:rsidR="008F40FF">
        <w:rPr>
          <w:rFonts w:ascii="Arial" w:hAnsi="Arial" w:cs="Arial"/>
          <w:sz w:val="22"/>
          <w:szCs w:val="22"/>
        </w:rPr>
        <w:t>la Región de Murcia</w:t>
      </w:r>
      <w:r w:rsidRPr="008F4D94">
        <w:rPr>
          <w:rFonts w:ascii="Arial" w:hAnsi="Arial" w:cs="Arial"/>
          <w:sz w:val="22"/>
          <w:szCs w:val="22"/>
        </w:rPr>
        <w:t xml:space="preserve">, la entidad cuenta con </w:t>
      </w:r>
      <w:r w:rsidR="00431384">
        <w:rPr>
          <w:rFonts w:ascii="Arial" w:hAnsi="Arial" w:cs="Arial"/>
          <w:sz w:val="22"/>
          <w:szCs w:val="22"/>
        </w:rPr>
        <w:t>8</w:t>
      </w:r>
      <w:r w:rsidRPr="008F4D94">
        <w:rPr>
          <w:rFonts w:ascii="Arial" w:hAnsi="Arial" w:cs="Arial"/>
          <w:sz w:val="22"/>
          <w:szCs w:val="22"/>
        </w:rPr>
        <w:t xml:space="preserve"> oficinas y centros especializados dedicados exclusivamente a atender las necesidades del segmento empresarial. En estos espacios, un equipo de profesionales expertos ofrece una propuesta de valor diferencial basada en la gestión integral de las empresas.</w:t>
      </w:r>
    </w:p>
    <w:p w14:paraId="1AA90457" w14:textId="77777777" w:rsidR="008F4D94" w:rsidRPr="008F4D94" w:rsidRDefault="008F4D94" w:rsidP="008F4D94">
      <w:pPr>
        <w:pStyle w:val="Prrafobsico"/>
        <w:spacing w:before="227" w:line="276" w:lineRule="auto"/>
        <w:ind w:left="-426"/>
        <w:jc w:val="both"/>
        <w:rPr>
          <w:rFonts w:ascii="Arial" w:hAnsi="Arial" w:cs="Arial"/>
          <w:b/>
          <w:bCs/>
          <w:sz w:val="22"/>
          <w:szCs w:val="22"/>
        </w:rPr>
      </w:pPr>
      <w:r w:rsidRPr="008F4D94">
        <w:rPr>
          <w:rFonts w:ascii="Arial" w:hAnsi="Arial" w:cs="Arial"/>
          <w:b/>
          <w:bCs/>
          <w:sz w:val="22"/>
          <w:szCs w:val="22"/>
        </w:rPr>
        <w:t xml:space="preserve">CaixaBank, entidad de referencia para las empresas  </w:t>
      </w:r>
    </w:p>
    <w:p w14:paraId="61184396" w14:textId="77777777" w:rsidR="008F4D94" w:rsidRPr="008F4D94" w:rsidRDefault="008F4D94" w:rsidP="008F4D94">
      <w:pPr>
        <w:pStyle w:val="Prrafobsico"/>
        <w:spacing w:before="227" w:line="276" w:lineRule="auto"/>
        <w:ind w:left="-426"/>
        <w:jc w:val="both"/>
        <w:rPr>
          <w:rFonts w:ascii="Arial" w:hAnsi="Arial" w:cs="Arial"/>
          <w:sz w:val="22"/>
          <w:szCs w:val="22"/>
        </w:rPr>
      </w:pPr>
      <w:r w:rsidRPr="008F4D94">
        <w:rPr>
          <w:rFonts w:ascii="Arial" w:hAnsi="Arial" w:cs="Arial"/>
          <w:sz w:val="22"/>
          <w:szCs w:val="22"/>
        </w:rPr>
        <w:t xml:space="preserve">CaixaBank es la entidad de referencia para empresas en España. Los clientes de la entidad financiera se benefician de un modelo de especialización desplegado desde sus 214 centros de empresa repartidos por toda la geografía española, en los que trabajan más de 2.300 profesionales altamente cualificados y con una sólida reputación en el asesoramiento empresarial. </w:t>
      </w:r>
    </w:p>
    <w:p w14:paraId="7AE5C45B" w14:textId="77777777" w:rsidR="008F4D94" w:rsidRPr="008F4D94" w:rsidRDefault="008F4D94" w:rsidP="008F4D94">
      <w:pPr>
        <w:pStyle w:val="Prrafobsico"/>
        <w:spacing w:before="227" w:line="276" w:lineRule="auto"/>
        <w:ind w:left="-426"/>
        <w:jc w:val="both"/>
        <w:rPr>
          <w:rFonts w:ascii="Arial" w:hAnsi="Arial" w:cs="Arial"/>
          <w:sz w:val="22"/>
          <w:szCs w:val="22"/>
        </w:rPr>
      </w:pPr>
      <w:r w:rsidRPr="008F4D94">
        <w:rPr>
          <w:rFonts w:ascii="Arial" w:hAnsi="Arial" w:cs="Arial"/>
          <w:sz w:val="22"/>
          <w:szCs w:val="22"/>
        </w:rPr>
        <w:t xml:space="preserve">La entidad cuenta con especialistas en financiación, comercio exterior, tesorería, turismo, negocio </w:t>
      </w:r>
      <w:r w:rsidRPr="008F4D94">
        <w:rPr>
          <w:rFonts w:ascii="Arial" w:hAnsi="Arial" w:cs="Arial"/>
          <w:color w:val="auto"/>
          <w:sz w:val="22"/>
          <w:szCs w:val="22"/>
        </w:rPr>
        <w:t xml:space="preserve">inmobiliario y pymes, que ofrecen un </w:t>
      </w:r>
      <w:r w:rsidRPr="008F4D94">
        <w:rPr>
          <w:rFonts w:ascii="Arial" w:hAnsi="Arial" w:cs="Arial"/>
          <w:sz w:val="22"/>
          <w:szCs w:val="22"/>
        </w:rPr>
        <w:t>servicio personalizado más allá de lo financiero para apoyar e impulsar al sector empresarial.</w:t>
      </w:r>
    </w:p>
    <w:p w14:paraId="5BAAC25B" w14:textId="77777777" w:rsidR="008F4D94" w:rsidRPr="008F4D94" w:rsidRDefault="008F4D94" w:rsidP="008F4D94">
      <w:pPr>
        <w:pStyle w:val="Prrafobsico"/>
        <w:spacing w:before="227" w:line="276" w:lineRule="auto"/>
        <w:ind w:left="-426"/>
        <w:jc w:val="both"/>
        <w:rPr>
          <w:rFonts w:ascii="Arial" w:hAnsi="Arial" w:cs="Arial"/>
          <w:color w:val="auto"/>
          <w:sz w:val="22"/>
          <w:szCs w:val="22"/>
        </w:rPr>
      </w:pPr>
      <w:r w:rsidRPr="008F4D94">
        <w:rPr>
          <w:rFonts w:ascii="Arial" w:hAnsi="Arial" w:cs="Arial"/>
          <w:sz w:val="22"/>
          <w:szCs w:val="22"/>
        </w:rPr>
        <w:t xml:space="preserve">En el ámbito internacional, CaixaBank apoya a sus clientes empresa con diversas soluciones operativas con acceso efectivo territorial a 156 mercados de distintos países y ofrece el mejor asesoramiento para las sus operaciones en el extranjero. La entidad presta servicio tanto a las pymes y microempresas que están iniciando sus actividades exportadoras como a las grandes corporaciones y grupos </w:t>
      </w:r>
      <w:r w:rsidRPr="008F4D94">
        <w:rPr>
          <w:rFonts w:ascii="Arial" w:hAnsi="Arial" w:cs="Arial"/>
          <w:color w:val="000000" w:themeColor="text1"/>
          <w:sz w:val="22"/>
          <w:szCs w:val="22"/>
        </w:rPr>
        <w:t xml:space="preserve">empresariales que afrontan proyectos internacionales más complejos. </w:t>
      </w:r>
    </w:p>
    <w:p w14:paraId="40EEFB18" w14:textId="77777777" w:rsidR="008F4D94" w:rsidRPr="008F4D94" w:rsidRDefault="008F4D94" w:rsidP="008F4D94">
      <w:pPr>
        <w:pStyle w:val="Prrafobsico"/>
        <w:spacing w:before="227" w:line="276" w:lineRule="auto"/>
        <w:ind w:left="-426"/>
        <w:jc w:val="both"/>
        <w:rPr>
          <w:rFonts w:ascii="Arial" w:hAnsi="Arial" w:cs="Arial"/>
          <w:color w:val="auto"/>
          <w:sz w:val="22"/>
          <w:szCs w:val="22"/>
        </w:rPr>
      </w:pPr>
      <w:r w:rsidRPr="008F4D94">
        <w:rPr>
          <w:rFonts w:ascii="Arial" w:hAnsi="Arial" w:cs="Arial"/>
          <w:color w:val="auto"/>
          <w:sz w:val="22"/>
          <w:szCs w:val="22"/>
        </w:rPr>
        <w:t>Además, CaixaBank ha lanzado su nuevo Plan de Sostenibilidad trienal, que forma parte del nuevo Plan Estratégico 2025-2027, con el que movilizará 100.000 millones de euros en finanzas sostenibles para continuar avanzando hacia una economía más sostenible y favorecer el desarrollo económico y social de las personas.</w:t>
      </w:r>
      <w:bookmarkEnd w:id="0"/>
    </w:p>
    <w:p w14:paraId="447C01A9" w14:textId="05B41283" w:rsidR="00E6220D" w:rsidRPr="008F4D94" w:rsidRDefault="00E6220D" w:rsidP="008F4D94">
      <w:pPr>
        <w:spacing w:line="276" w:lineRule="auto"/>
        <w:ind w:left="-426" w:right="-568"/>
        <w:jc w:val="both"/>
        <w:rPr>
          <w:lang w:val="es-ES_tradnl"/>
        </w:rPr>
      </w:pPr>
    </w:p>
    <w:sectPr w:rsidR="00E6220D" w:rsidRPr="008F4D94" w:rsidSect="00A453ED">
      <w:headerReference w:type="default" r:id="rId8"/>
      <w:footerReference w:type="default" r:id="rId9"/>
      <w:pgSz w:w="11906" w:h="16838"/>
      <w:pgMar w:top="2552" w:right="1701" w:bottom="2268"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3C207" w14:textId="77777777" w:rsidR="006B2F4D" w:rsidRDefault="006B2F4D" w:rsidP="001E4FCE">
      <w:pPr>
        <w:spacing w:after="0" w:line="240" w:lineRule="auto"/>
      </w:pPr>
      <w:r>
        <w:separator/>
      </w:r>
    </w:p>
  </w:endnote>
  <w:endnote w:type="continuationSeparator" w:id="0">
    <w:p w14:paraId="271817A6" w14:textId="77777777" w:rsidR="006B2F4D" w:rsidRDefault="006B2F4D"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3B6FE1DB" w:rsidR="008F0D64" w:rsidRPr="00B60236" w:rsidRDefault="00B81BAC" w:rsidP="009D0564">
    <w:pPr>
      <w:pStyle w:val="Piedepgina"/>
      <w:rPr>
        <w:rFonts w:ascii="Arial" w:hAnsi="Arial" w:cs="Arial"/>
        <w:sz w:val="16"/>
        <w:szCs w:val="16"/>
      </w:rPr>
    </w:pPr>
    <w:r w:rsidRPr="0073512B">
      <w:rPr>
        <w:rFonts w:ascii="Arial" w:hAnsi="Arial" w:cs="Arial"/>
        <w:noProof/>
        <w:color w:val="636463"/>
        <w:sz w:val="16"/>
        <w:szCs w:val="16"/>
      </w:rPr>
      <mc:AlternateContent>
        <mc:Choice Requires="wps">
          <w:drawing>
            <wp:anchor distT="71755" distB="71755" distL="114300" distR="114300" simplePos="0" relativeHeight="251668480" behindDoc="0" locked="0" layoutInCell="1" allowOverlap="1" wp14:anchorId="4E387429" wp14:editId="478DF312">
              <wp:simplePos x="0" y="0"/>
              <wp:positionH relativeFrom="margin">
                <wp:posOffset>-552450</wp:posOffset>
              </wp:positionH>
              <wp:positionV relativeFrom="page">
                <wp:posOffset>9658985</wp:posOffset>
              </wp:positionV>
              <wp:extent cx="1493520" cy="532765"/>
              <wp:effectExtent l="0" t="0" r="0" b="635"/>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532765"/>
                      </a:xfrm>
                      <a:prstGeom prst="rect">
                        <a:avLst/>
                      </a:prstGeom>
                      <a:noFill/>
                      <a:ln>
                        <a:noFill/>
                      </a:ln>
                      <a:effectLst/>
                    </wps:spPr>
                    <wps:txbx>
                      <w:txbxContent>
                        <w:p w14:paraId="3EFC09E4" w14:textId="77777777" w:rsidR="00B81BAC" w:rsidRDefault="00B81BAC" w:rsidP="00B81BAC">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66143728" w14:textId="77777777" w:rsidR="00B81BAC" w:rsidRPr="00280C9B" w:rsidRDefault="00B81BAC" w:rsidP="00B81BAC">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3094F6BD" w14:textId="77777777" w:rsidR="00B81BAC" w:rsidRPr="00280C9B" w:rsidRDefault="00B81BAC" w:rsidP="00B81BAC">
                          <w:pPr>
                            <w:rPr>
                              <w:rFonts w:ascii="Arial" w:hAnsi="Arial" w:cs="Arial"/>
                              <w:color w:val="656565"/>
                              <w:sz w:val="12"/>
                              <w:szCs w:val="12"/>
                            </w:rPr>
                          </w:pPr>
                          <w:hyperlink r:id="rId1"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5DCA7824" w14:textId="77777777" w:rsidR="00B81BAC" w:rsidRPr="0042506E" w:rsidRDefault="00B81BAC" w:rsidP="00B81BAC">
                          <w:pPr>
                            <w:rPr>
                              <w:rFonts w:ascii="Arial" w:hAnsi="Arial" w:cs="Arial"/>
                              <w:sz w:val="12"/>
                              <w:szCs w:val="1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E387429" id="_x0000_t202" coordsize="21600,21600" o:spt="202" path="m,l,21600r21600,l21600,xe">
              <v:stroke joinstyle="miter"/>
              <v:path gradientshapeok="t" o:connecttype="rect"/>
            </v:shapetype>
            <v:shape id="Cuadro de texto 14" o:spid="_x0000_s1026" type="#_x0000_t202" style="position:absolute;margin-left:-43.5pt;margin-top:760.55pt;width:117.6pt;height:41.95pt;z-index:251668480;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" filled="f" stroked="f">
              <v:textbox>
                <w:txbxContent>
                  <w:p w14:paraId="3EFC09E4" w14:textId="77777777" w:rsidR="00B81BAC" w:rsidRDefault="00B81BAC" w:rsidP="00B81BAC">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66143728" w14:textId="77777777" w:rsidR="00B81BAC" w:rsidRPr="00280C9B" w:rsidRDefault="00B81BAC" w:rsidP="00B81BAC">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3094F6BD" w14:textId="77777777" w:rsidR="00B81BAC" w:rsidRPr="00280C9B" w:rsidRDefault="00B81BAC" w:rsidP="00B81BAC">
                    <w:pPr>
                      <w:rPr>
                        <w:rFonts w:ascii="Arial" w:hAnsi="Arial" w:cs="Arial"/>
                        <w:color w:val="656565"/>
                        <w:sz w:val="12"/>
                        <w:szCs w:val="12"/>
                      </w:rPr>
                    </w:pPr>
                    <w:hyperlink r:id="rId2"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5DCA7824" w14:textId="77777777" w:rsidR="00B81BAC" w:rsidRPr="0042506E" w:rsidRDefault="00B81BAC" w:rsidP="00B81BAC">
                    <w:pPr>
                      <w:rPr>
                        <w:rFonts w:ascii="Arial" w:hAnsi="Arial" w:cs="Arial"/>
                        <w:sz w:val="12"/>
                        <w:szCs w:val="12"/>
                        <w:lang w:val="es-ES_tradnl"/>
                      </w:rPr>
                    </w:pPr>
                  </w:p>
                </w:txbxContent>
              </v:textbox>
              <w10:wrap type="square" anchorx="margin" anchory="page"/>
            </v:shape>
          </w:pict>
        </mc:Fallback>
      </mc:AlternateContent>
    </w:r>
    <w:r w:rsidR="00211689">
      <w:rPr>
        <w:noProof/>
      </w:rPr>
      <w:drawing>
        <wp:anchor distT="0" distB="0" distL="114300" distR="114300" simplePos="0" relativeHeight="251666432" behindDoc="1" locked="0" layoutInCell="1" allowOverlap="1" wp14:anchorId="56DB8FB8" wp14:editId="5BC7A88D">
          <wp:simplePos x="0" y="0"/>
          <wp:positionH relativeFrom="column">
            <wp:posOffset>914400</wp:posOffset>
          </wp:positionH>
          <wp:positionV relativeFrom="paragraph">
            <wp:posOffset>-567690</wp:posOffset>
          </wp:positionV>
          <wp:extent cx="5187315" cy="834390"/>
          <wp:effectExtent l="0" t="0" r="0" b="381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5187315" cy="834390"/>
                  </a:xfrm>
                  <a:prstGeom prst="rect">
                    <a:avLst/>
                  </a:prstGeom>
                </pic:spPr>
              </pic:pic>
            </a:graphicData>
          </a:graphic>
        </wp:anchor>
      </w:drawing>
    </w:r>
    <w:r w:rsidR="00211689">
      <w:rPr>
        <w:noProof/>
      </w:rPr>
      <mc:AlternateContent>
        <mc:Choice Requires="wps">
          <w:drawing>
            <wp:anchor distT="0" distB="0" distL="114300" distR="114300" simplePos="0" relativeHeight="251665408" behindDoc="0" locked="0" layoutInCell="1" allowOverlap="1" wp14:anchorId="3E7D3522" wp14:editId="7B8BD1AB">
              <wp:simplePos x="0" y="0"/>
              <wp:positionH relativeFrom="page">
                <wp:posOffset>612140</wp:posOffset>
              </wp:positionH>
              <wp:positionV relativeFrom="paragraph">
                <wp:posOffset>-631891</wp:posOffset>
              </wp:positionV>
              <wp:extent cx="6335395"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5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A008A87" id="Conector recto 12"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8.2pt,-49.75pt" to="547.0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" strokecolor="black [3200]" strokeweight=".5pt">
              <v:stroke joinstyle="miter"/>
              <w10:wrap type="square" anchorx="page"/>
            </v:line>
          </w:pict>
        </mc:Fallback>
      </mc:AlternateContent>
    </w:r>
  </w:p>
  <w:p w14:paraId="08AF43A8" w14:textId="0144EFB4" w:rsidR="00271003" w:rsidRDefault="00271003" w:rsidP="00271003">
    <w:pPr>
      <w:pStyle w:val="Piedepgina"/>
      <w:tabs>
        <w:tab w:val="clear" w:pos="4252"/>
        <w:tab w:val="clear" w:pos="8504"/>
        <w:tab w:val="left" w:pos="5882"/>
      </w:tabs>
      <w:ind w:left="920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BAFB" w14:textId="77777777" w:rsidR="006B2F4D" w:rsidRDefault="006B2F4D" w:rsidP="001E4FCE">
      <w:pPr>
        <w:spacing w:after="0" w:line="240" w:lineRule="auto"/>
      </w:pPr>
      <w:r>
        <w:separator/>
      </w:r>
    </w:p>
  </w:footnote>
  <w:footnote w:type="continuationSeparator" w:id="0">
    <w:p w14:paraId="22D6211F" w14:textId="77777777" w:rsidR="006B2F4D" w:rsidRDefault="006B2F4D" w:rsidP="001E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079CF501" w:rsidR="001E4FCE" w:rsidRDefault="00B60236">
    <w:pPr>
      <w:pStyle w:val="Encabezado"/>
    </w:pPr>
    <w:r>
      <w:rPr>
        <w:noProof/>
      </w:rPr>
      <mc:AlternateContent>
        <mc:Choice Requires="wps">
          <w:drawing>
            <wp:anchor distT="0" distB="0" distL="114300" distR="114300" simplePos="0" relativeHeight="251660288"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F29C86F"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6131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169190">
    <w:abstractNumId w:val="1"/>
  </w:num>
  <w:num w:numId="2" w16cid:durableId="70530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51CF6"/>
    <w:rsid w:val="0006627E"/>
    <w:rsid w:val="000906F9"/>
    <w:rsid w:val="000D0614"/>
    <w:rsid w:val="000E073A"/>
    <w:rsid w:val="000E2BFA"/>
    <w:rsid w:val="001131AA"/>
    <w:rsid w:val="00120E32"/>
    <w:rsid w:val="0014220F"/>
    <w:rsid w:val="00142273"/>
    <w:rsid w:val="00154307"/>
    <w:rsid w:val="0017053A"/>
    <w:rsid w:val="0018584B"/>
    <w:rsid w:val="001C0D47"/>
    <w:rsid w:val="001D4F30"/>
    <w:rsid w:val="001E4FCE"/>
    <w:rsid w:val="001F5497"/>
    <w:rsid w:val="00211689"/>
    <w:rsid w:val="002346E4"/>
    <w:rsid w:val="0023518F"/>
    <w:rsid w:val="00271003"/>
    <w:rsid w:val="002F01A1"/>
    <w:rsid w:val="0032666D"/>
    <w:rsid w:val="003C2503"/>
    <w:rsid w:val="003C2C20"/>
    <w:rsid w:val="00431384"/>
    <w:rsid w:val="00481FEA"/>
    <w:rsid w:val="005459BA"/>
    <w:rsid w:val="005461BF"/>
    <w:rsid w:val="005B3D52"/>
    <w:rsid w:val="005F6FD3"/>
    <w:rsid w:val="00601423"/>
    <w:rsid w:val="00672CE4"/>
    <w:rsid w:val="006A777C"/>
    <w:rsid w:val="006B2F4D"/>
    <w:rsid w:val="006C45A5"/>
    <w:rsid w:val="007C5D4F"/>
    <w:rsid w:val="008134C5"/>
    <w:rsid w:val="00856A41"/>
    <w:rsid w:val="008F0D64"/>
    <w:rsid w:val="008F40FF"/>
    <w:rsid w:val="008F4D94"/>
    <w:rsid w:val="00973980"/>
    <w:rsid w:val="009D0564"/>
    <w:rsid w:val="00A453ED"/>
    <w:rsid w:val="00AF00A0"/>
    <w:rsid w:val="00B60236"/>
    <w:rsid w:val="00B81BAC"/>
    <w:rsid w:val="00BC5966"/>
    <w:rsid w:val="00BC601B"/>
    <w:rsid w:val="00C010B8"/>
    <w:rsid w:val="00C16C70"/>
    <w:rsid w:val="00C81ADB"/>
    <w:rsid w:val="00CC1975"/>
    <w:rsid w:val="00D040E1"/>
    <w:rsid w:val="00D46922"/>
    <w:rsid w:val="00DA0828"/>
    <w:rsid w:val="00DA4325"/>
    <w:rsid w:val="00DB0385"/>
    <w:rsid w:val="00DF626E"/>
    <w:rsid w:val="00E101FD"/>
    <w:rsid w:val="00E6220D"/>
    <w:rsid w:val="00E95E9D"/>
    <w:rsid w:val="00EC4734"/>
    <w:rsid w:val="00F5329B"/>
    <w:rsid w:val="00FA4564"/>
    <w:rsid w:val="00FA716A"/>
    <w:rsid w:val="00FC7D71"/>
    <w:rsid w:val="00FF4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qFormat/>
    <w:rsid w:val="005459B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character" w:styleId="Refdecomentario">
    <w:name w:val="annotation reference"/>
    <w:basedOn w:val="Fuentedeprrafopredeter"/>
    <w:uiPriority w:val="99"/>
    <w:semiHidden/>
    <w:unhideWhenUsed/>
    <w:rsid w:val="005459BA"/>
    <w:rPr>
      <w:sz w:val="16"/>
      <w:szCs w:val="16"/>
    </w:rPr>
  </w:style>
  <w:style w:type="paragraph" w:styleId="Textocomentario">
    <w:name w:val="annotation text"/>
    <w:basedOn w:val="Normal"/>
    <w:link w:val="TextocomentarioCar"/>
    <w:uiPriority w:val="99"/>
    <w:semiHidden/>
    <w:unhideWhenUsed/>
    <w:rsid w:val="005459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59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7482">
      <w:bodyDiv w:val="1"/>
      <w:marLeft w:val="0"/>
      <w:marRight w:val="0"/>
      <w:marTop w:val="0"/>
      <w:marBottom w:val="0"/>
      <w:divBdr>
        <w:top w:val="none" w:sz="0" w:space="0" w:color="auto"/>
        <w:left w:val="none" w:sz="0" w:space="0" w:color="auto"/>
        <w:bottom w:val="none" w:sz="0" w:space="0" w:color="auto"/>
        <w:right w:val="none" w:sz="0" w:space="0" w:color="auto"/>
      </w:divBdr>
    </w:div>
    <w:div w:id="170411913">
      <w:bodyDiv w:val="1"/>
      <w:marLeft w:val="0"/>
      <w:marRight w:val="0"/>
      <w:marTop w:val="0"/>
      <w:marBottom w:val="0"/>
      <w:divBdr>
        <w:top w:val="none" w:sz="0" w:space="0" w:color="auto"/>
        <w:left w:val="none" w:sz="0" w:space="0" w:color="auto"/>
        <w:bottom w:val="none" w:sz="0" w:space="0" w:color="auto"/>
        <w:right w:val="none" w:sz="0" w:space="0" w:color="auto"/>
      </w:divBdr>
    </w:div>
    <w:div w:id="689648739">
      <w:bodyDiv w:val="1"/>
      <w:marLeft w:val="0"/>
      <w:marRight w:val="0"/>
      <w:marTop w:val="0"/>
      <w:marBottom w:val="0"/>
      <w:divBdr>
        <w:top w:val="none" w:sz="0" w:space="0" w:color="auto"/>
        <w:left w:val="none" w:sz="0" w:space="0" w:color="auto"/>
        <w:bottom w:val="none" w:sz="0" w:space="0" w:color="auto"/>
        <w:right w:val="none" w:sz="0" w:space="0" w:color="auto"/>
      </w:divBdr>
    </w:div>
    <w:div w:id="103758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Jose.a.meseguer@caixabank.com" TargetMode="External"/><Relationship Id="rId1" Type="http://schemas.openxmlformats.org/officeDocument/2006/relationships/hyperlink" Target="mailto:Jose.a.meseguer@caixa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3389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JOSE ANTONIO MESEGUER CONTRERAS</cp:lastModifiedBy>
  <cp:revision>3</cp:revision>
  <dcterms:created xsi:type="dcterms:W3CDTF">2025-08-12T10:34:00Z</dcterms:created>
  <dcterms:modified xsi:type="dcterms:W3CDTF">2025-08-12T10:35:00Z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ies>
</file>