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274D" w14:textId="5F92C7C7" w:rsidR="003C2503" w:rsidRPr="00217FA0" w:rsidRDefault="00C57026" w:rsidP="00C3793F">
      <w:pPr>
        <w:spacing w:line="240" w:lineRule="auto"/>
        <w:ind w:left="-426" w:right="-568"/>
        <w:jc w:val="both"/>
        <w:rPr>
          <w:rFonts w:ascii="Arial" w:hAnsi="Arial" w:cs="Arial"/>
          <w:b/>
          <w:bCs/>
          <w:i/>
          <w:iCs/>
          <w:color w:val="009FEA"/>
          <w:sz w:val="32"/>
          <w:szCs w:val="32"/>
        </w:rPr>
      </w:pPr>
      <w:r w:rsidRPr="00C57026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CaixaBank concede </w:t>
      </w:r>
      <w:r w:rsidR="00A449DE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más de </w:t>
      </w:r>
      <w:r w:rsidR="004D3A8D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148 </w:t>
      </w:r>
      <w:r w:rsidRPr="00C57026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mi</w:t>
      </w:r>
      <w:r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llones en hipotecas durante 2024</w:t>
      </w:r>
      <w:r w:rsidR="00D97E91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en </w:t>
      </w:r>
      <w:r w:rsidR="004D3A8D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Aragón</w:t>
      </w:r>
      <w:r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, </w:t>
      </w:r>
      <w:r w:rsidR="00E67B16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un </w:t>
      </w:r>
      <w:r w:rsidR="004D3A8D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31 </w:t>
      </w:r>
      <w:r w:rsidR="00E67B16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%</w:t>
      </w:r>
      <w:r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</w:t>
      </w:r>
      <w:r w:rsidR="00E67B16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más </w:t>
      </w:r>
      <w:r w:rsidR="00C3793F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que en el año anterior</w:t>
      </w:r>
    </w:p>
    <w:p w14:paraId="66CAF241" w14:textId="77777777" w:rsidR="001E4FCE" w:rsidRPr="00C57026" w:rsidRDefault="001E4FCE" w:rsidP="00481FEA">
      <w:pPr>
        <w:spacing w:line="240" w:lineRule="auto"/>
        <w:ind w:left="-426" w:right="-568"/>
        <w:rPr>
          <w:rFonts w:ascii="Arial" w:hAnsi="Arial" w:cs="Arial"/>
        </w:rPr>
      </w:pPr>
    </w:p>
    <w:p w14:paraId="389D2E2A" w14:textId="2C97227A" w:rsidR="00177D39" w:rsidRPr="00217FA0" w:rsidRDefault="00C3793F" w:rsidP="00C01864">
      <w:pPr>
        <w:pStyle w:val="Prrafodelista"/>
        <w:numPr>
          <w:ilvl w:val="0"/>
          <w:numId w:val="1"/>
        </w:numPr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17FA0">
        <w:rPr>
          <w:rFonts w:ascii="Arial" w:hAnsi="Arial" w:cs="Arial"/>
          <w:b/>
          <w:bCs/>
          <w:i/>
          <w:iCs/>
          <w:sz w:val="24"/>
          <w:szCs w:val="24"/>
        </w:rPr>
        <w:t>La entidad</w:t>
      </w:r>
      <w:r w:rsidR="00DD6AE0" w:rsidRPr="00217FA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17FA0">
        <w:rPr>
          <w:rFonts w:ascii="Arial" w:hAnsi="Arial" w:cs="Arial"/>
          <w:b/>
          <w:bCs/>
          <w:i/>
          <w:iCs/>
          <w:sz w:val="24"/>
          <w:szCs w:val="24"/>
        </w:rPr>
        <w:t xml:space="preserve">mantiene su apuesta comercial </w:t>
      </w:r>
      <w:r w:rsidR="00DD6AE0" w:rsidRPr="00217FA0">
        <w:rPr>
          <w:rFonts w:ascii="Arial" w:hAnsi="Arial" w:cs="Arial"/>
          <w:b/>
          <w:bCs/>
          <w:i/>
          <w:iCs/>
          <w:sz w:val="24"/>
          <w:szCs w:val="24"/>
        </w:rPr>
        <w:t>por</w:t>
      </w:r>
      <w:r w:rsidRPr="00217FA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D6AE0" w:rsidRPr="00217FA0">
        <w:rPr>
          <w:rFonts w:ascii="Arial" w:hAnsi="Arial" w:cs="Arial"/>
          <w:b/>
          <w:bCs/>
          <w:i/>
          <w:iCs/>
          <w:sz w:val="24"/>
          <w:szCs w:val="24"/>
        </w:rPr>
        <w:t>las hipotecas fijas</w:t>
      </w:r>
      <w:r w:rsidR="008C6BCC" w:rsidRPr="00217FA0">
        <w:rPr>
          <w:rFonts w:ascii="Arial" w:hAnsi="Arial" w:cs="Arial"/>
          <w:b/>
          <w:bCs/>
          <w:i/>
          <w:iCs/>
          <w:sz w:val="24"/>
          <w:szCs w:val="24"/>
        </w:rPr>
        <w:t xml:space="preserve">, con </w:t>
      </w:r>
      <w:r w:rsidR="00604F02">
        <w:rPr>
          <w:rFonts w:ascii="Arial" w:hAnsi="Arial" w:cs="Arial"/>
          <w:b/>
          <w:bCs/>
          <w:i/>
          <w:iCs/>
          <w:sz w:val="24"/>
          <w:szCs w:val="24"/>
        </w:rPr>
        <w:t>alrededor del</w:t>
      </w:r>
      <w:r w:rsidRPr="00217FA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D3A8D">
        <w:rPr>
          <w:rFonts w:ascii="Arial" w:hAnsi="Arial" w:cs="Arial"/>
          <w:b/>
          <w:bCs/>
          <w:i/>
          <w:iCs/>
          <w:sz w:val="24"/>
          <w:szCs w:val="24"/>
        </w:rPr>
        <w:t>83</w:t>
      </w:r>
      <w:r w:rsidRPr="00217FA0">
        <w:rPr>
          <w:rFonts w:ascii="Arial" w:hAnsi="Arial" w:cs="Arial"/>
          <w:b/>
          <w:bCs/>
          <w:i/>
          <w:iCs/>
          <w:sz w:val="24"/>
          <w:szCs w:val="24"/>
        </w:rPr>
        <w:t xml:space="preserve">% de </w:t>
      </w:r>
      <w:r w:rsidR="00DD6AE0" w:rsidRPr="00217FA0">
        <w:rPr>
          <w:rFonts w:ascii="Arial" w:hAnsi="Arial" w:cs="Arial"/>
          <w:b/>
          <w:bCs/>
          <w:i/>
          <w:iCs/>
          <w:sz w:val="24"/>
          <w:szCs w:val="24"/>
        </w:rPr>
        <w:t xml:space="preserve">los créditos hipotecarios concedidos este año </w:t>
      </w:r>
      <w:r w:rsidR="00D97E91">
        <w:rPr>
          <w:rFonts w:ascii="Arial" w:hAnsi="Arial" w:cs="Arial"/>
          <w:b/>
          <w:bCs/>
          <w:i/>
          <w:iCs/>
          <w:sz w:val="24"/>
          <w:szCs w:val="24"/>
        </w:rPr>
        <w:t xml:space="preserve">en </w:t>
      </w:r>
      <w:r w:rsidR="004D3A8D">
        <w:rPr>
          <w:rFonts w:ascii="Arial" w:hAnsi="Arial" w:cs="Arial"/>
          <w:b/>
          <w:bCs/>
          <w:i/>
          <w:iCs/>
          <w:sz w:val="24"/>
          <w:szCs w:val="24"/>
        </w:rPr>
        <w:t>Aragón</w:t>
      </w:r>
      <w:r w:rsidR="00D97E9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D6AE0" w:rsidRPr="00217FA0">
        <w:rPr>
          <w:rFonts w:ascii="Arial" w:hAnsi="Arial" w:cs="Arial"/>
          <w:b/>
          <w:bCs/>
          <w:i/>
          <w:iCs/>
          <w:sz w:val="24"/>
          <w:szCs w:val="24"/>
        </w:rPr>
        <w:t>a tipo fijo</w:t>
      </w:r>
    </w:p>
    <w:p w14:paraId="5637184E" w14:textId="77777777" w:rsidR="001E4FCE" w:rsidRPr="00217FA0" w:rsidRDefault="001E4FCE" w:rsidP="00EC4734">
      <w:pPr>
        <w:pStyle w:val="Prrafodelista"/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3A504AC" w14:textId="6017722C" w:rsidR="003C2503" w:rsidRPr="00217FA0" w:rsidRDefault="00180354" w:rsidP="00EC4734">
      <w:pPr>
        <w:pStyle w:val="Prrafodelista"/>
        <w:numPr>
          <w:ilvl w:val="0"/>
          <w:numId w:val="1"/>
        </w:numPr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17FA0">
        <w:rPr>
          <w:rFonts w:ascii="Arial" w:hAnsi="Arial" w:cs="Arial"/>
          <w:b/>
          <w:bCs/>
          <w:i/>
          <w:iCs/>
          <w:sz w:val="24"/>
          <w:szCs w:val="24"/>
        </w:rPr>
        <w:t xml:space="preserve">Como parte de su compromiso ambiental, </w:t>
      </w:r>
      <w:r w:rsidR="008C6BCC" w:rsidRPr="00217FA0">
        <w:rPr>
          <w:rFonts w:ascii="Arial" w:hAnsi="Arial" w:cs="Arial"/>
          <w:b/>
          <w:bCs/>
          <w:i/>
          <w:iCs/>
          <w:sz w:val="24"/>
          <w:szCs w:val="24"/>
        </w:rPr>
        <w:t xml:space="preserve">durante 2024 </w:t>
      </w:r>
      <w:r w:rsidR="000B7D84" w:rsidRPr="00217FA0">
        <w:rPr>
          <w:rFonts w:ascii="Arial" w:hAnsi="Arial" w:cs="Arial"/>
          <w:b/>
          <w:bCs/>
          <w:i/>
          <w:iCs/>
          <w:sz w:val="24"/>
          <w:szCs w:val="24"/>
        </w:rPr>
        <w:t xml:space="preserve">CaixaBank ha concedido un </w:t>
      </w:r>
      <w:r w:rsidR="003E3727">
        <w:rPr>
          <w:rFonts w:ascii="Arial" w:hAnsi="Arial" w:cs="Arial"/>
          <w:b/>
          <w:bCs/>
          <w:i/>
          <w:iCs/>
          <w:sz w:val="24"/>
          <w:szCs w:val="24"/>
        </w:rPr>
        <w:t>13</w:t>
      </w:r>
      <w:r w:rsidR="000B7D84" w:rsidRPr="00217FA0">
        <w:rPr>
          <w:rFonts w:ascii="Arial" w:hAnsi="Arial" w:cs="Arial"/>
          <w:b/>
          <w:bCs/>
          <w:i/>
          <w:iCs/>
          <w:sz w:val="24"/>
          <w:szCs w:val="24"/>
        </w:rPr>
        <w:t>% de hipotecas verdes</w:t>
      </w:r>
      <w:r w:rsidRPr="00217FA0">
        <w:rPr>
          <w:rFonts w:ascii="Arial" w:hAnsi="Arial" w:cs="Arial"/>
          <w:b/>
          <w:bCs/>
          <w:i/>
          <w:iCs/>
          <w:sz w:val="24"/>
          <w:szCs w:val="24"/>
        </w:rPr>
        <w:t xml:space="preserve"> y ha impulsado la ‘Hipoteca </w:t>
      </w:r>
      <w:r w:rsidR="000B7D84" w:rsidRPr="00217FA0">
        <w:rPr>
          <w:rFonts w:ascii="Arial" w:hAnsi="Arial" w:cs="Arial"/>
          <w:b/>
          <w:bCs/>
          <w:i/>
          <w:iCs/>
          <w:sz w:val="24"/>
          <w:szCs w:val="24"/>
        </w:rPr>
        <w:t>E</w:t>
      </w:r>
      <w:r w:rsidRPr="00217FA0">
        <w:rPr>
          <w:rFonts w:ascii="Arial" w:hAnsi="Arial" w:cs="Arial"/>
          <w:b/>
          <w:bCs/>
          <w:i/>
          <w:iCs/>
          <w:sz w:val="24"/>
          <w:szCs w:val="24"/>
        </w:rPr>
        <w:t xml:space="preserve">ficiente’, que permite al cliente incluir en el mismo préstamo hipotecario las reformas dirigidas a la mejora energética de </w:t>
      </w:r>
      <w:r w:rsidR="002671CB" w:rsidRPr="00217FA0">
        <w:rPr>
          <w:rFonts w:ascii="Arial" w:hAnsi="Arial" w:cs="Arial"/>
          <w:b/>
          <w:bCs/>
          <w:i/>
          <w:iCs/>
          <w:sz w:val="24"/>
          <w:szCs w:val="24"/>
        </w:rPr>
        <w:t>la</w:t>
      </w:r>
      <w:r w:rsidRPr="00217FA0">
        <w:rPr>
          <w:rFonts w:ascii="Arial" w:hAnsi="Arial" w:cs="Arial"/>
          <w:b/>
          <w:bCs/>
          <w:i/>
          <w:iCs/>
          <w:sz w:val="24"/>
          <w:szCs w:val="24"/>
        </w:rPr>
        <w:t xml:space="preserve"> vivienda</w:t>
      </w:r>
    </w:p>
    <w:p w14:paraId="64696BCE" w14:textId="77777777" w:rsidR="009B2BBC" w:rsidRPr="00217FA0" w:rsidRDefault="009B2BBC" w:rsidP="009B2BBC">
      <w:pPr>
        <w:pStyle w:val="Prrafodelista"/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C30833D" w14:textId="53F9E4B3" w:rsidR="009B2BBC" w:rsidRPr="00217FA0" w:rsidRDefault="009B2BBC" w:rsidP="009B2BBC">
      <w:pPr>
        <w:pStyle w:val="Prrafodelista"/>
        <w:numPr>
          <w:ilvl w:val="0"/>
          <w:numId w:val="1"/>
        </w:numPr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17FA0">
        <w:rPr>
          <w:rFonts w:ascii="Arial" w:hAnsi="Arial" w:cs="Arial"/>
          <w:b/>
          <w:bCs/>
          <w:i/>
          <w:iCs/>
          <w:sz w:val="24"/>
          <w:szCs w:val="24"/>
        </w:rPr>
        <w:t xml:space="preserve">Desde que el euríbor entrara en terreno positivo, alrededor de </w:t>
      </w:r>
      <w:r w:rsidRPr="00F71DF3">
        <w:rPr>
          <w:rFonts w:ascii="Arial" w:hAnsi="Arial" w:cs="Arial"/>
          <w:b/>
          <w:bCs/>
          <w:i/>
          <w:iCs/>
          <w:sz w:val="24"/>
          <w:szCs w:val="24"/>
        </w:rPr>
        <w:t>5</w:t>
      </w:r>
      <w:r w:rsidR="00F71DF3" w:rsidRPr="00F71DF3">
        <w:rPr>
          <w:rFonts w:ascii="Arial" w:hAnsi="Arial" w:cs="Arial"/>
          <w:b/>
          <w:bCs/>
          <w:i/>
          <w:iCs/>
          <w:sz w:val="24"/>
          <w:szCs w:val="24"/>
        </w:rPr>
        <w:t>7</w:t>
      </w:r>
      <w:r w:rsidRPr="00F71DF3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AB11B0">
        <w:rPr>
          <w:rFonts w:ascii="Arial" w:hAnsi="Arial" w:cs="Arial"/>
          <w:b/>
          <w:bCs/>
          <w:i/>
          <w:iCs/>
          <w:sz w:val="24"/>
          <w:szCs w:val="24"/>
        </w:rPr>
        <w:t>0</w:t>
      </w:r>
      <w:r w:rsidRPr="00F71DF3">
        <w:rPr>
          <w:rFonts w:ascii="Arial" w:hAnsi="Arial" w:cs="Arial"/>
          <w:b/>
          <w:bCs/>
          <w:i/>
          <w:iCs/>
          <w:sz w:val="24"/>
          <w:szCs w:val="24"/>
        </w:rPr>
        <w:t>00</w:t>
      </w:r>
      <w:r w:rsidRPr="00217FA0">
        <w:rPr>
          <w:rFonts w:ascii="Arial" w:hAnsi="Arial" w:cs="Arial"/>
          <w:b/>
          <w:bCs/>
          <w:i/>
          <w:iCs/>
          <w:sz w:val="24"/>
          <w:szCs w:val="24"/>
        </w:rPr>
        <w:t xml:space="preserve"> clientes </w:t>
      </w:r>
      <w:r w:rsidR="0027655B" w:rsidRPr="00217FA0">
        <w:rPr>
          <w:rFonts w:ascii="Arial" w:hAnsi="Arial" w:cs="Arial"/>
          <w:b/>
          <w:bCs/>
          <w:i/>
          <w:iCs/>
          <w:sz w:val="24"/>
          <w:szCs w:val="24"/>
        </w:rPr>
        <w:t xml:space="preserve">de la entidad </w:t>
      </w:r>
      <w:r w:rsidRPr="00217FA0">
        <w:rPr>
          <w:rFonts w:ascii="Arial" w:hAnsi="Arial" w:cs="Arial"/>
          <w:b/>
          <w:bCs/>
          <w:i/>
          <w:iCs/>
          <w:sz w:val="24"/>
          <w:szCs w:val="24"/>
        </w:rPr>
        <w:t>se han beneficiado de acuerdos de pago para sus préstamos, refinanciaciones o soluciones vinculadas al Código de Buenas Prácticas hipotecario</w:t>
      </w:r>
    </w:p>
    <w:p w14:paraId="1BAD390B" w14:textId="77777777" w:rsidR="00180354" w:rsidRPr="00217FA0" w:rsidRDefault="00180354" w:rsidP="00180354">
      <w:pPr>
        <w:spacing w:line="240" w:lineRule="auto"/>
        <w:ind w:right="-568"/>
        <w:rPr>
          <w:rFonts w:ascii="Arial" w:hAnsi="Arial" w:cs="Arial"/>
        </w:rPr>
      </w:pPr>
    </w:p>
    <w:p w14:paraId="6D4F2382" w14:textId="05DF28DA" w:rsidR="001E4FCE" w:rsidRPr="00217FA0" w:rsidRDefault="00920790" w:rsidP="00C647A7">
      <w:pPr>
        <w:spacing w:line="240" w:lineRule="auto"/>
        <w:ind w:left="-426" w:right="-56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4D3A8D">
        <w:rPr>
          <w:rFonts w:ascii="Arial" w:hAnsi="Arial" w:cs="Arial"/>
          <w:b/>
          <w:bCs/>
        </w:rPr>
        <w:t>4</w:t>
      </w:r>
      <w:r w:rsidR="00C647A7" w:rsidRPr="00217FA0">
        <w:rPr>
          <w:rFonts w:ascii="Arial" w:hAnsi="Arial" w:cs="Arial"/>
          <w:b/>
          <w:bCs/>
        </w:rPr>
        <w:t xml:space="preserve"> de enero de 2025</w:t>
      </w:r>
    </w:p>
    <w:p w14:paraId="0C965401" w14:textId="77777777" w:rsidR="00C647A7" w:rsidRPr="00217FA0" w:rsidRDefault="00C647A7" w:rsidP="00C647A7">
      <w:pPr>
        <w:spacing w:line="240" w:lineRule="auto"/>
        <w:ind w:left="-426" w:right="-568"/>
        <w:rPr>
          <w:rFonts w:ascii="Arial" w:hAnsi="Arial" w:cs="Arial"/>
          <w:b/>
          <w:bCs/>
        </w:rPr>
      </w:pPr>
    </w:p>
    <w:p w14:paraId="224DCB8D" w14:textId="6DCA2C58" w:rsidR="00D97E91" w:rsidRPr="00217FA0" w:rsidRDefault="00C647A7" w:rsidP="00D97E91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217FA0">
        <w:rPr>
          <w:rFonts w:ascii="Arial" w:hAnsi="Arial" w:cs="Arial"/>
        </w:rPr>
        <w:t xml:space="preserve">CaixaBank ha concedido más de </w:t>
      </w:r>
      <w:r w:rsidR="004D3A8D">
        <w:rPr>
          <w:rFonts w:ascii="Arial" w:hAnsi="Arial" w:cs="Arial"/>
        </w:rPr>
        <w:t>148</w:t>
      </w:r>
      <w:r w:rsidRPr="00217FA0">
        <w:rPr>
          <w:rFonts w:ascii="Arial" w:hAnsi="Arial" w:cs="Arial"/>
        </w:rPr>
        <w:t xml:space="preserve"> millones de euros en crédito hipotecario durante el año 2024</w:t>
      </w:r>
      <w:r w:rsidR="00D97E91">
        <w:rPr>
          <w:rFonts w:ascii="Arial" w:hAnsi="Arial" w:cs="Arial"/>
        </w:rPr>
        <w:t xml:space="preserve"> en </w:t>
      </w:r>
      <w:r w:rsidR="006D1411">
        <w:rPr>
          <w:rFonts w:ascii="Arial" w:hAnsi="Arial" w:cs="Arial"/>
        </w:rPr>
        <w:t>Aragón.</w:t>
      </w:r>
      <w:r w:rsidRPr="00217FA0">
        <w:rPr>
          <w:rFonts w:ascii="Arial" w:hAnsi="Arial" w:cs="Arial"/>
        </w:rPr>
        <w:t xml:space="preserve"> Esta cifra</w:t>
      </w:r>
      <w:r w:rsidR="008B41E0" w:rsidRPr="00217FA0">
        <w:rPr>
          <w:rFonts w:ascii="Arial" w:hAnsi="Arial" w:cs="Arial"/>
        </w:rPr>
        <w:t xml:space="preserve"> </w:t>
      </w:r>
      <w:r w:rsidRPr="00217FA0">
        <w:rPr>
          <w:rFonts w:ascii="Arial" w:hAnsi="Arial" w:cs="Arial"/>
        </w:rPr>
        <w:t xml:space="preserve">supone un crecimiento </w:t>
      </w:r>
      <w:r w:rsidR="004D3A8D">
        <w:rPr>
          <w:rFonts w:ascii="Arial" w:hAnsi="Arial" w:cs="Arial"/>
        </w:rPr>
        <w:t>del 31</w:t>
      </w:r>
      <w:r w:rsidR="00E67B16">
        <w:rPr>
          <w:rFonts w:ascii="Arial" w:hAnsi="Arial" w:cs="Arial"/>
        </w:rPr>
        <w:t>%</w:t>
      </w:r>
      <w:r w:rsidRPr="00217FA0">
        <w:rPr>
          <w:rFonts w:ascii="Arial" w:hAnsi="Arial" w:cs="Arial"/>
        </w:rPr>
        <w:t xml:space="preserve"> respecto al año anterior</w:t>
      </w:r>
      <w:r w:rsidR="008B41E0" w:rsidRPr="00217FA0">
        <w:rPr>
          <w:rFonts w:ascii="Arial" w:hAnsi="Arial" w:cs="Arial"/>
        </w:rPr>
        <w:t xml:space="preserve">, lo que </w:t>
      </w:r>
      <w:r w:rsidRPr="00217FA0">
        <w:rPr>
          <w:rFonts w:ascii="Arial" w:hAnsi="Arial" w:cs="Arial"/>
        </w:rPr>
        <w:t>refuerza la posición</w:t>
      </w:r>
      <w:r w:rsidR="008B41E0" w:rsidRPr="00217FA0">
        <w:rPr>
          <w:rFonts w:ascii="Arial" w:hAnsi="Arial" w:cs="Arial"/>
        </w:rPr>
        <w:t xml:space="preserve"> </w:t>
      </w:r>
      <w:r w:rsidRPr="00217FA0">
        <w:rPr>
          <w:rFonts w:ascii="Arial" w:hAnsi="Arial" w:cs="Arial"/>
        </w:rPr>
        <w:t xml:space="preserve">de la entidad </w:t>
      </w:r>
      <w:r w:rsidR="000022A2" w:rsidRPr="00217FA0">
        <w:rPr>
          <w:rFonts w:ascii="Arial" w:hAnsi="Arial" w:cs="Arial"/>
        </w:rPr>
        <w:t xml:space="preserve">como referente </w:t>
      </w:r>
      <w:r w:rsidRPr="00217FA0">
        <w:rPr>
          <w:rFonts w:ascii="Arial" w:hAnsi="Arial" w:cs="Arial"/>
        </w:rPr>
        <w:t xml:space="preserve">en el mercado hipotecario, </w:t>
      </w:r>
      <w:r w:rsidR="000022A2" w:rsidRPr="00217FA0">
        <w:rPr>
          <w:rFonts w:ascii="Arial" w:hAnsi="Arial" w:cs="Arial"/>
        </w:rPr>
        <w:t>que lidera con</w:t>
      </w:r>
      <w:r w:rsidR="008B41E0" w:rsidRPr="00217FA0">
        <w:rPr>
          <w:rFonts w:ascii="Arial" w:hAnsi="Arial" w:cs="Arial"/>
        </w:rPr>
        <w:t xml:space="preserve"> una</w:t>
      </w:r>
      <w:r w:rsidRPr="00217FA0">
        <w:rPr>
          <w:rFonts w:ascii="Arial" w:hAnsi="Arial" w:cs="Arial"/>
        </w:rPr>
        <w:t xml:space="preserve"> cuota del 25,</w:t>
      </w:r>
      <w:r w:rsidR="00C00B17" w:rsidRPr="00217FA0">
        <w:rPr>
          <w:rFonts w:ascii="Arial" w:hAnsi="Arial" w:cs="Arial"/>
        </w:rPr>
        <w:t>6</w:t>
      </w:r>
      <w:r w:rsidRPr="00217FA0">
        <w:rPr>
          <w:rFonts w:ascii="Arial" w:hAnsi="Arial" w:cs="Arial"/>
        </w:rPr>
        <w:t>%</w:t>
      </w:r>
      <w:r w:rsidR="00D97E91">
        <w:rPr>
          <w:rFonts w:ascii="Arial" w:hAnsi="Arial" w:cs="Arial"/>
        </w:rPr>
        <w:t xml:space="preserve"> a nivel nacional. En el conjunto de España, CaixaBank </w:t>
      </w:r>
      <w:r w:rsidR="00D97E91" w:rsidRPr="00217FA0">
        <w:rPr>
          <w:rFonts w:ascii="Arial" w:hAnsi="Arial" w:cs="Arial"/>
        </w:rPr>
        <w:t xml:space="preserve">ha concedido más de 14.000 millones </w:t>
      </w:r>
      <w:r w:rsidR="00D97E91">
        <w:rPr>
          <w:rFonts w:ascii="Arial" w:hAnsi="Arial" w:cs="Arial"/>
        </w:rPr>
        <w:t>en hipotecas</w:t>
      </w:r>
      <w:r w:rsidR="00D97E91" w:rsidRPr="00217FA0">
        <w:rPr>
          <w:rFonts w:ascii="Arial" w:hAnsi="Arial" w:cs="Arial"/>
        </w:rPr>
        <w:t xml:space="preserve"> durante </w:t>
      </w:r>
      <w:r w:rsidR="00D97E91">
        <w:rPr>
          <w:rFonts w:ascii="Arial" w:hAnsi="Arial" w:cs="Arial"/>
        </w:rPr>
        <w:t>el pasado año, un</w:t>
      </w:r>
      <w:r w:rsidR="00D97E91" w:rsidRPr="00217FA0">
        <w:rPr>
          <w:rFonts w:ascii="Arial" w:hAnsi="Arial" w:cs="Arial"/>
        </w:rPr>
        <w:t xml:space="preserve"> </w:t>
      </w:r>
      <w:r w:rsidR="00D97E91">
        <w:rPr>
          <w:rFonts w:ascii="Arial" w:hAnsi="Arial" w:cs="Arial"/>
        </w:rPr>
        <w:t>50%</w:t>
      </w:r>
      <w:r w:rsidR="00D97E91" w:rsidRPr="00217FA0">
        <w:rPr>
          <w:rFonts w:ascii="Arial" w:hAnsi="Arial" w:cs="Arial"/>
        </w:rPr>
        <w:t xml:space="preserve"> </w:t>
      </w:r>
      <w:r w:rsidR="00D97E91">
        <w:rPr>
          <w:rFonts w:ascii="Arial" w:hAnsi="Arial" w:cs="Arial"/>
        </w:rPr>
        <w:t xml:space="preserve">más que en 2023. </w:t>
      </w:r>
    </w:p>
    <w:p w14:paraId="486AF56C" w14:textId="1483E53B" w:rsidR="00C538E8" w:rsidRPr="00217FA0" w:rsidRDefault="00C538E8" w:rsidP="00C538E8">
      <w:pPr>
        <w:spacing w:line="276" w:lineRule="auto"/>
        <w:ind w:left="-426" w:right="-568"/>
        <w:jc w:val="both"/>
        <w:rPr>
          <w:rFonts w:ascii="Arial" w:hAnsi="Arial" w:cs="Arial"/>
        </w:rPr>
      </w:pPr>
      <w:bookmarkStart w:id="0" w:name="_Hlk176364408"/>
      <w:r w:rsidRPr="00217FA0">
        <w:rPr>
          <w:rFonts w:ascii="Arial" w:hAnsi="Arial" w:cs="Arial"/>
        </w:rPr>
        <w:t xml:space="preserve">La entidad, que cuenta con una propuesta hipotecaria innovadora y un equipo profesional altamente especializado, ofrece a cada perfil de cliente una solución hipotecaria totalmente personalizada y adaptada a sus necesidades. Asimismo, imagin, la plataforma de servicios financieros para jóvenes de </w:t>
      </w:r>
      <w:r w:rsidR="004D3A8D" w:rsidRPr="00217FA0">
        <w:rPr>
          <w:rFonts w:ascii="Arial" w:hAnsi="Arial" w:cs="Arial"/>
        </w:rPr>
        <w:t>CaixaBank</w:t>
      </w:r>
      <w:r w:rsidR="004D3A8D">
        <w:rPr>
          <w:rFonts w:ascii="Arial" w:hAnsi="Arial" w:cs="Arial"/>
        </w:rPr>
        <w:t>,</w:t>
      </w:r>
      <w:r w:rsidR="006F3588">
        <w:rPr>
          <w:rFonts w:ascii="Arial" w:hAnsi="Arial" w:cs="Arial"/>
        </w:rPr>
        <w:t xml:space="preserve"> </w:t>
      </w:r>
      <w:r w:rsidR="000B7D84" w:rsidRPr="00217FA0">
        <w:rPr>
          <w:rFonts w:ascii="Arial" w:hAnsi="Arial" w:cs="Arial"/>
        </w:rPr>
        <w:t xml:space="preserve">también </w:t>
      </w:r>
      <w:r w:rsidRPr="00217FA0">
        <w:rPr>
          <w:rFonts w:ascii="Arial" w:hAnsi="Arial" w:cs="Arial"/>
        </w:rPr>
        <w:t>dispone de su propia oferta, específicamente dirigida a este segmento del mercado.</w:t>
      </w:r>
      <w:bookmarkEnd w:id="0"/>
    </w:p>
    <w:p w14:paraId="11DE3A1A" w14:textId="0FD97011" w:rsidR="000B7D84" w:rsidRPr="00217FA0" w:rsidRDefault="000022A2" w:rsidP="000B7D84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217FA0">
        <w:rPr>
          <w:rFonts w:ascii="Arial" w:hAnsi="Arial" w:cs="Arial"/>
        </w:rPr>
        <w:t>Del total de hipotecas concedidas por CaixaBank durante 2024</w:t>
      </w:r>
      <w:r w:rsidR="00D97E91">
        <w:rPr>
          <w:rFonts w:ascii="Arial" w:hAnsi="Arial" w:cs="Arial"/>
        </w:rPr>
        <w:t xml:space="preserve"> en </w:t>
      </w:r>
      <w:r w:rsidR="004D3A8D">
        <w:rPr>
          <w:rFonts w:ascii="Arial" w:hAnsi="Arial" w:cs="Arial"/>
        </w:rPr>
        <w:t>Aragón</w:t>
      </w:r>
      <w:r w:rsidRPr="00217FA0">
        <w:rPr>
          <w:rFonts w:ascii="Arial" w:hAnsi="Arial" w:cs="Arial"/>
        </w:rPr>
        <w:t xml:space="preserve">, </w:t>
      </w:r>
      <w:r w:rsidR="00604F02">
        <w:rPr>
          <w:rFonts w:ascii="Arial" w:hAnsi="Arial" w:cs="Arial"/>
        </w:rPr>
        <w:t>alrededor del</w:t>
      </w:r>
      <w:r w:rsidR="00DE6733" w:rsidRPr="00217FA0">
        <w:rPr>
          <w:rFonts w:ascii="Arial" w:hAnsi="Arial" w:cs="Arial"/>
        </w:rPr>
        <w:t xml:space="preserve"> </w:t>
      </w:r>
      <w:r w:rsidR="004D3A8D">
        <w:rPr>
          <w:rFonts w:ascii="Arial" w:hAnsi="Arial" w:cs="Arial"/>
        </w:rPr>
        <w:t>83</w:t>
      </w:r>
      <w:r w:rsidR="00DE6733" w:rsidRPr="00217FA0">
        <w:rPr>
          <w:rFonts w:ascii="Arial" w:hAnsi="Arial" w:cs="Arial"/>
        </w:rPr>
        <w:t>% han sido a tipo fijo, una tendencia que se ha mantenido en los últimos meses pese a la bajada de tipos.</w:t>
      </w:r>
      <w:r w:rsidR="00680800" w:rsidRPr="00217FA0">
        <w:rPr>
          <w:rFonts w:ascii="Arial" w:hAnsi="Arial" w:cs="Arial"/>
        </w:rPr>
        <w:t xml:space="preserve"> </w:t>
      </w:r>
      <w:r w:rsidR="00DE6733" w:rsidRPr="00217FA0">
        <w:rPr>
          <w:rFonts w:ascii="Arial" w:hAnsi="Arial" w:cs="Arial"/>
        </w:rPr>
        <w:t xml:space="preserve">Esto responde a que la entidad </w:t>
      </w:r>
      <w:r w:rsidR="00680800" w:rsidRPr="00217FA0">
        <w:rPr>
          <w:rFonts w:ascii="Arial" w:hAnsi="Arial" w:cs="Arial"/>
        </w:rPr>
        <w:t xml:space="preserve">mantiene su </w:t>
      </w:r>
      <w:r w:rsidR="000B7D84" w:rsidRPr="00217FA0">
        <w:rPr>
          <w:rFonts w:ascii="Arial" w:hAnsi="Arial" w:cs="Arial"/>
        </w:rPr>
        <w:t>prioridad</w:t>
      </w:r>
      <w:r w:rsidR="00680800" w:rsidRPr="00217FA0">
        <w:rPr>
          <w:rFonts w:ascii="Arial" w:hAnsi="Arial" w:cs="Arial"/>
        </w:rPr>
        <w:t xml:space="preserve"> comercial </w:t>
      </w:r>
      <w:r w:rsidR="000B7D84" w:rsidRPr="00217FA0">
        <w:rPr>
          <w:rFonts w:ascii="Arial" w:hAnsi="Arial" w:cs="Arial"/>
        </w:rPr>
        <w:t>en</w:t>
      </w:r>
      <w:r w:rsidR="00680800" w:rsidRPr="00217FA0">
        <w:rPr>
          <w:rFonts w:ascii="Arial" w:hAnsi="Arial" w:cs="Arial"/>
        </w:rPr>
        <w:t xml:space="preserve"> las hipotecas fijas </w:t>
      </w:r>
      <w:r w:rsidR="000B7D84" w:rsidRPr="00217FA0">
        <w:rPr>
          <w:rFonts w:ascii="Arial" w:hAnsi="Arial" w:cs="Arial"/>
        </w:rPr>
        <w:t>por</w:t>
      </w:r>
      <w:r w:rsidRPr="00217FA0">
        <w:rPr>
          <w:rFonts w:ascii="Arial" w:hAnsi="Arial" w:cs="Arial"/>
        </w:rPr>
        <w:t xml:space="preserve"> </w:t>
      </w:r>
      <w:r w:rsidR="00680800" w:rsidRPr="00217FA0">
        <w:rPr>
          <w:rFonts w:ascii="Arial" w:hAnsi="Arial" w:cs="Arial"/>
        </w:rPr>
        <w:t>su sencillez, transparencia y protección ante subidas de tipos, una apuesta que CaixaBank viene haciendo desde hace una década</w:t>
      </w:r>
      <w:r w:rsidRPr="00217FA0">
        <w:rPr>
          <w:rFonts w:ascii="Arial" w:hAnsi="Arial" w:cs="Arial"/>
        </w:rPr>
        <w:t xml:space="preserve"> y que ha permitido que actualmente, sobre el conjunto de la cartera hipotecaria de la entidad, </w:t>
      </w:r>
      <w:r w:rsidR="00EB5A1A">
        <w:rPr>
          <w:rFonts w:ascii="Arial" w:hAnsi="Arial" w:cs="Arial"/>
        </w:rPr>
        <w:t>en torno al</w:t>
      </w:r>
      <w:r w:rsidRPr="00217FA0">
        <w:rPr>
          <w:rFonts w:ascii="Arial" w:hAnsi="Arial" w:cs="Arial"/>
        </w:rPr>
        <w:t xml:space="preserve"> 4</w:t>
      </w:r>
      <w:r w:rsidR="00EB5A1A">
        <w:rPr>
          <w:rFonts w:ascii="Arial" w:hAnsi="Arial" w:cs="Arial"/>
        </w:rPr>
        <w:t>0</w:t>
      </w:r>
      <w:r w:rsidRPr="00217FA0">
        <w:rPr>
          <w:rFonts w:ascii="Arial" w:hAnsi="Arial" w:cs="Arial"/>
        </w:rPr>
        <w:t xml:space="preserve">% </w:t>
      </w:r>
      <w:r w:rsidR="00521D89" w:rsidRPr="00217FA0">
        <w:rPr>
          <w:rFonts w:ascii="Arial" w:hAnsi="Arial" w:cs="Arial"/>
        </w:rPr>
        <w:t>sea</w:t>
      </w:r>
      <w:r w:rsidRPr="00217FA0">
        <w:rPr>
          <w:rFonts w:ascii="Arial" w:hAnsi="Arial" w:cs="Arial"/>
        </w:rPr>
        <w:t xml:space="preserve"> a tipo fijo.</w:t>
      </w:r>
    </w:p>
    <w:p w14:paraId="20F28F2C" w14:textId="561641E0" w:rsidR="00C538E8" w:rsidRPr="00217FA0" w:rsidRDefault="0027655B" w:rsidP="000B7D84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217FA0">
        <w:rPr>
          <w:rFonts w:ascii="Arial" w:hAnsi="Arial" w:cs="Arial"/>
        </w:rPr>
        <w:lastRenderedPageBreak/>
        <w:t>CaixaBank</w:t>
      </w:r>
      <w:r w:rsidR="00C538E8" w:rsidRPr="00217FA0">
        <w:rPr>
          <w:rFonts w:ascii="Arial" w:hAnsi="Arial" w:cs="Arial"/>
        </w:rPr>
        <w:t xml:space="preserve"> canaliza su </w:t>
      </w:r>
      <w:r w:rsidRPr="00217FA0">
        <w:rPr>
          <w:rFonts w:ascii="Arial" w:hAnsi="Arial" w:cs="Arial"/>
        </w:rPr>
        <w:t>oferta de</w:t>
      </w:r>
      <w:r w:rsidR="00C538E8" w:rsidRPr="00217FA0">
        <w:rPr>
          <w:rFonts w:ascii="Arial" w:hAnsi="Arial" w:cs="Arial"/>
        </w:rPr>
        <w:t xml:space="preserve"> hipotecas fijas a través del producto ‘CasaFácil’ y de </w:t>
      </w:r>
      <w:r w:rsidR="000B7D84" w:rsidRPr="00217FA0">
        <w:rPr>
          <w:rFonts w:ascii="Arial" w:hAnsi="Arial" w:cs="Arial"/>
        </w:rPr>
        <w:t xml:space="preserve">la ‘Hipoteca </w:t>
      </w:r>
      <w:r w:rsidR="00C538E8" w:rsidRPr="00217FA0">
        <w:rPr>
          <w:rFonts w:ascii="Arial" w:hAnsi="Arial" w:cs="Arial"/>
        </w:rPr>
        <w:t>imagin</w:t>
      </w:r>
      <w:r w:rsidR="000B7D84" w:rsidRPr="00217FA0">
        <w:rPr>
          <w:rFonts w:ascii="Arial" w:hAnsi="Arial" w:cs="Arial"/>
        </w:rPr>
        <w:t>’.</w:t>
      </w:r>
      <w:r w:rsidR="00C538E8" w:rsidRPr="00217FA0">
        <w:rPr>
          <w:rFonts w:ascii="Arial" w:hAnsi="Arial" w:cs="Arial"/>
        </w:rPr>
        <w:t xml:space="preserve"> Ambas opciones permiten a los clientes saber desde el primer momento cuánto pagarán cada mes durante toda la vida del crédito sin estar sujetos a las fluctuaciones de los tipos de interés. Además, resultan muy ventajosas para los clientes, que pueden optar a hipotecas de hasta 30 años, con una financiación de entre el 80% y el 90% según el perfil del cliente, con los gastos incluidos</w:t>
      </w:r>
      <w:r w:rsidRPr="00217FA0">
        <w:rPr>
          <w:rFonts w:ascii="Arial" w:hAnsi="Arial" w:cs="Arial"/>
        </w:rPr>
        <w:t xml:space="preserve"> y</w:t>
      </w:r>
      <w:r w:rsidR="000B7D84" w:rsidRPr="00217FA0">
        <w:rPr>
          <w:rFonts w:ascii="Arial" w:hAnsi="Arial" w:cs="Arial"/>
        </w:rPr>
        <w:t xml:space="preserve"> opciones de bonificación</w:t>
      </w:r>
      <w:r w:rsidRPr="00217FA0">
        <w:rPr>
          <w:rFonts w:ascii="Arial" w:hAnsi="Arial" w:cs="Arial"/>
        </w:rPr>
        <w:t>,</w:t>
      </w:r>
      <w:r w:rsidR="00C538E8" w:rsidRPr="00217FA0">
        <w:rPr>
          <w:rFonts w:ascii="Arial" w:hAnsi="Arial" w:cs="Arial"/>
        </w:rPr>
        <w:t xml:space="preserve"> y </w:t>
      </w:r>
      <w:r w:rsidRPr="00217FA0">
        <w:rPr>
          <w:rFonts w:ascii="Arial" w:hAnsi="Arial" w:cs="Arial"/>
        </w:rPr>
        <w:t xml:space="preserve">con una </w:t>
      </w:r>
      <w:r w:rsidR="00C538E8" w:rsidRPr="00217FA0">
        <w:rPr>
          <w:rFonts w:ascii="Arial" w:hAnsi="Arial" w:cs="Arial"/>
        </w:rPr>
        <w:t>gestión om</w:t>
      </w:r>
      <w:r w:rsidR="00B12ADE">
        <w:rPr>
          <w:rFonts w:ascii="Arial" w:hAnsi="Arial" w:cs="Arial"/>
        </w:rPr>
        <w:t>ni</w:t>
      </w:r>
      <w:r w:rsidR="00C538E8" w:rsidRPr="00217FA0">
        <w:rPr>
          <w:rFonts w:ascii="Arial" w:hAnsi="Arial" w:cs="Arial"/>
        </w:rPr>
        <w:t xml:space="preserve">canal, e incluso 100% digital en el caso de los clientes de imagin. </w:t>
      </w:r>
    </w:p>
    <w:p w14:paraId="65F7676D" w14:textId="0B115767" w:rsidR="009B2BBC" w:rsidRPr="00217FA0" w:rsidRDefault="009B2BBC" w:rsidP="009B2BBC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217FA0">
        <w:rPr>
          <w:rFonts w:ascii="Arial" w:hAnsi="Arial" w:cs="Arial"/>
        </w:rPr>
        <w:t xml:space="preserve">CaixaBank, tal y como refleja en su nuevo Plan estratégico 2025-2027, tiene el objetivo de seguir liderando el mercado hipotecario en los próximos años, manteniendo el nivel de cuota por encima del 25%, y </w:t>
      </w:r>
      <w:r w:rsidR="000B7D84" w:rsidRPr="00217FA0">
        <w:rPr>
          <w:rFonts w:ascii="Arial" w:hAnsi="Arial" w:cs="Arial"/>
        </w:rPr>
        <w:t xml:space="preserve">de </w:t>
      </w:r>
      <w:r w:rsidR="00F71694" w:rsidRPr="00217FA0">
        <w:rPr>
          <w:rFonts w:ascii="Arial" w:hAnsi="Arial" w:cs="Arial"/>
        </w:rPr>
        <w:t xml:space="preserve">seguir </w:t>
      </w:r>
      <w:r w:rsidR="000B7D84" w:rsidRPr="00217FA0">
        <w:rPr>
          <w:rFonts w:ascii="Arial" w:hAnsi="Arial" w:cs="Arial"/>
        </w:rPr>
        <w:t>crec</w:t>
      </w:r>
      <w:r w:rsidR="00F71694" w:rsidRPr="00217FA0">
        <w:rPr>
          <w:rFonts w:ascii="Arial" w:hAnsi="Arial" w:cs="Arial"/>
        </w:rPr>
        <w:t>iendo</w:t>
      </w:r>
      <w:r w:rsidRPr="00217FA0">
        <w:rPr>
          <w:rFonts w:ascii="Arial" w:hAnsi="Arial" w:cs="Arial"/>
        </w:rPr>
        <w:t xml:space="preserve"> en todo su catálogo complementario de productos y servicios del ecosistema hogar</w:t>
      </w:r>
      <w:r w:rsidR="000B7D84" w:rsidRPr="00217FA0">
        <w:rPr>
          <w:rFonts w:ascii="Arial" w:hAnsi="Arial" w:cs="Arial"/>
        </w:rPr>
        <w:t>.</w:t>
      </w:r>
    </w:p>
    <w:p w14:paraId="74980063" w14:textId="11862E9E" w:rsidR="00C538E8" w:rsidRPr="00217FA0" w:rsidRDefault="00C538E8" w:rsidP="00177D39">
      <w:pPr>
        <w:spacing w:line="276" w:lineRule="auto"/>
        <w:ind w:left="-426" w:right="-568"/>
        <w:jc w:val="both"/>
        <w:rPr>
          <w:rFonts w:ascii="Arial" w:hAnsi="Arial" w:cs="Arial"/>
          <w:b/>
          <w:bCs/>
        </w:rPr>
      </w:pPr>
      <w:r w:rsidRPr="00217FA0">
        <w:rPr>
          <w:rFonts w:ascii="Arial" w:hAnsi="Arial" w:cs="Arial"/>
          <w:b/>
          <w:bCs/>
        </w:rPr>
        <w:t>Criterios medioambientales y sociales en la oferta hipotecaria</w:t>
      </w:r>
    </w:p>
    <w:p w14:paraId="5D9D619D" w14:textId="6E955B0A" w:rsidR="00C538E8" w:rsidRPr="00217FA0" w:rsidRDefault="00C538E8" w:rsidP="00C538E8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217FA0">
        <w:rPr>
          <w:rFonts w:ascii="Arial" w:hAnsi="Arial" w:cs="Arial"/>
        </w:rPr>
        <w:t xml:space="preserve">El compromiso social y medioambiental de CaixaBank también se traslada a su negocio hipotecario, con productos específicos y criterios de gestión dirigidos a impactar de manera positiva en la sociedad. </w:t>
      </w:r>
    </w:p>
    <w:p w14:paraId="43AE4077" w14:textId="01D4A5E0" w:rsidR="00C538E8" w:rsidRPr="00217FA0" w:rsidRDefault="00C538E8" w:rsidP="00F71DF3">
      <w:pPr>
        <w:shd w:val="clear" w:color="auto" w:fill="FFFFFF" w:themeFill="background1"/>
        <w:spacing w:line="276" w:lineRule="auto"/>
        <w:ind w:left="-426" w:right="-568"/>
        <w:jc w:val="both"/>
        <w:rPr>
          <w:rFonts w:ascii="Arial" w:hAnsi="Arial" w:cs="Arial"/>
        </w:rPr>
      </w:pPr>
      <w:r w:rsidRPr="00217FA0">
        <w:rPr>
          <w:rFonts w:ascii="Arial" w:hAnsi="Arial" w:cs="Arial"/>
        </w:rPr>
        <w:t xml:space="preserve">Por un lado, en el marco de su compromiso ambiental, durante 2024 el </w:t>
      </w:r>
      <w:r w:rsidR="003E3727">
        <w:rPr>
          <w:rFonts w:ascii="Arial" w:hAnsi="Arial" w:cs="Arial"/>
        </w:rPr>
        <w:t>13</w:t>
      </w:r>
      <w:r w:rsidRPr="00217FA0">
        <w:rPr>
          <w:rFonts w:ascii="Arial" w:hAnsi="Arial" w:cs="Arial"/>
        </w:rPr>
        <w:t>% de las hipotecas que ha concedido la entidad son verdes</w:t>
      </w:r>
      <w:r w:rsidR="00F71694" w:rsidRPr="00217FA0">
        <w:rPr>
          <w:rFonts w:ascii="Arial" w:hAnsi="Arial" w:cs="Arial"/>
        </w:rPr>
        <w:t xml:space="preserve">, </w:t>
      </w:r>
      <w:r w:rsidR="00F41D7E" w:rsidRPr="00217FA0">
        <w:rPr>
          <w:rFonts w:ascii="Arial" w:hAnsi="Arial" w:cs="Arial"/>
        </w:rPr>
        <w:t xml:space="preserve">lo </w:t>
      </w:r>
      <w:r w:rsidR="00F71694" w:rsidRPr="00217FA0">
        <w:rPr>
          <w:rFonts w:ascii="Arial" w:hAnsi="Arial" w:cs="Arial"/>
        </w:rPr>
        <w:t xml:space="preserve">que </w:t>
      </w:r>
      <w:r w:rsidR="00F41D7E" w:rsidRPr="00217FA0">
        <w:rPr>
          <w:rFonts w:ascii="Arial" w:hAnsi="Arial" w:cs="Arial"/>
        </w:rPr>
        <w:t>implica a</w:t>
      </w:r>
      <w:r w:rsidRPr="00217FA0">
        <w:rPr>
          <w:rFonts w:ascii="Arial" w:hAnsi="Arial" w:cs="Arial"/>
        </w:rPr>
        <w:t xml:space="preserve"> los clientes acceder a condiciones ventajosas si la propiedad cumple ciertos estándares de eficiencia</w:t>
      </w:r>
      <w:r w:rsidR="00F71694" w:rsidRPr="00217FA0">
        <w:rPr>
          <w:rFonts w:ascii="Arial" w:hAnsi="Arial" w:cs="Arial"/>
        </w:rPr>
        <w:t xml:space="preserve">. </w:t>
      </w:r>
      <w:r w:rsidRPr="00217FA0">
        <w:rPr>
          <w:rFonts w:ascii="Arial" w:hAnsi="Arial" w:cs="Arial"/>
        </w:rPr>
        <w:t xml:space="preserve">Además, la entidad ha impulsado la ‘Hipoteca </w:t>
      </w:r>
      <w:r w:rsidR="000B7D84" w:rsidRPr="00217FA0">
        <w:rPr>
          <w:rFonts w:ascii="Arial" w:hAnsi="Arial" w:cs="Arial"/>
        </w:rPr>
        <w:t>E</w:t>
      </w:r>
      <w:r w:rsidRPr="00217FA0">
        <w:rPr>
          <w:rFonts w:ascii="Arial" w:hAnsi="Arial" w:cs="Arial"/>
        </w:rPr>
        <w:t>ficiente’, un producto innovador que permite al cliente incluir en el mismo préstamo hipotecario las reformas dirigidas a la mejora energética de la vivienda, como, por ejemplo, cambios en la infraestructura, sustitución de calderas, renovación de ventanas y aislamientos y otras intervenciones destinadas a reducir la demanda energética del inmueble.</w:t>
      </w:r>
    </w:p>
    <w:p w14:paraId="084A91BF" w14:textId="653D0F98" w:rsidR="00177D39" w:rsidRPr="00217FA0" w:rsidRDefault="00C538E8" w:rsidP="00F71DF3">
      <w:pPr>
        <w:shd w:val="clear" w:color="auto" w:fill="FFFFFF" w:themeFill="background1"/>
        <w:spacing w:line="276" w:lineRule="auto"/>
        <w:ind w:left="-426" w:right="-568"/>
        <w:jc w:val="both"/>
        <w:rPr>
          <w:rFonts w:ascii="Arial" w:hAnsi="Arial" w:cs="Arial"/>
        </w:rPr>
      </w:pPr>
      <w:r w:rsidRPr="00217FA0">
        <w:rPr>
          <w:rFonts w:ascii="Arial" w:hAnsi="Arial" w:cs="Arial"/>
        </w:rPr>
        <w:t xml:space="preserve">Por otra parte, </w:t>
      </w:r>
      <w:r w:rsidR="00177D39" w:rsidRPr="00217FA0">
        <w:rPr>
          <w:rFonts w:ascii="Arial" w:hAnsi="Arial" w:cs="Arial"/>
        </w:rPr>
        <w:t xml:space="preserve">desde que el euríbor entrara en terreno positivo, </w:t>
      </w:r>
      <w:r w:rsidR="000B7D84" w:rsidRPr="00217FA0">
        <w:rPr>
          <w:rFonts w:ascii="Arial" w:hAnsi="Arial" w:cs="Arial"/>
        </w:rPr>
        <w:t>la entidad</w:t>
      </w:r>
      <w:r w:rsidRPr="00217FA0">
        <w:rPr>
          <w:rFonts w:ascii="Arial" w:hAnsi="Arial" w:cs="Arial"/>
        </w:rPr>
        <w:t xml:space="preserve"> ha estado cerca de aquellos clientes que lo han necesitado y </w:t>
      </w:r>
      <w:r w:rsidR="00177D39" w:rsidRPr="00217FA0">
        <w:rPr>
          <w:rFonts w:ascii="Arial" w:hAnsi="Arial" w:cs="Arial"/>
        </w:rPr>
        <w:t xml:space="preserve">alrededor de </w:t>
      </w:r>
      <w:r w:rsidR="00177D39" w:rsidRPr="00F71DF3">
        <w:rPr>
          <w:rFonts w:ascii="Arial" w:hAnsi="Arial" w:cs="Arial"/>
        </w:rPr>
        <w:t>5</w:t>
      </w:r>
      <w:r w:rsidR="00F71DF3" w:rsidRPr="00F71DF3">
        <w:rPr>
          <w:rFonts w:ascii="Arial" w:hAnsi="Arial" w:cs="Arial"/>
        </w:rPr>
        <w:t>7</w:t>
      </w:r>
      <w:r w:rsidR="00177D39" w:rsidRPr="00F71DF3">
        <w:rPr>
          <w:rFonts w:ascii="Arial" w:hAnsi="Arial" w:cs="Arial"/>
        </w:rPr>
        <w:t>.</w:t>
      </w:r>
      <w:r w:rsidR="00AB11B0">
        <w:rPr>
          <w:rFonts w:ascii="Arial" w:hAnsi="Arial" w:cs="Arial"/>
        </w:rPr>
        <w:t>0</w:t>
      </w:r>
      <w:r w:rsidR="00177D39" w:rsidRPr="00F71DF3">
        <w:rPr>
          <w:rFonts w:ascii="Arial" w:hAnsi="Arial" w:cs="Arial"/>
        </w:rPr>
        <w:t>00</w:t>
      </w:r>
      <w:r w:rsidR="00177D39" w:rsidRPr="00217FA0">
        <w:rPr>
          <w:rFonts w:ascii="Arial" w:hAnsi="Arial" w:cs="Arial"/>
        </w:rPr>
        <w:t xml:space="preserve"> </w:t>
      </w:r>
      <w:r w:rsidR="00312458" w:rsidRPr="00217FA0">
        <w:rPr>
          <w:rFonts w:ascii="Arial" w:hAnsi="Arial" w:cs="Arial"/>
        </w:rPr>
        <w:t>clientes</w:t>
      </w:r>
      <w:r w:rsidR="00177D39" w:rsidRPr="00217FA0">
        <w:rPr>
          <w:rFonts w:ascii="Arial" w:hAnsi="Arial" w:cs="Arial"/>
        </w:rPr>
        <w:t xml:space="preserve"> se han beneficiado de acuerdos de pago para sus préstamos, refinanciaciones o soluciones vinculadas al Código de Buenas Prácticas hipotecario. </w:t>
      </w:r>
    </w:p>
    <w:p w14:paraId="2BA06D7F" w14:textId="45F85409" w:rsidR="00A6134C" w:rsidRDefault="00C538E8" w:rsidP="009B2BBC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217FA0">
        <w:rPr>
          <w:rFonts w:ascii="Arial" w:hAnsi="Arial" w:cs="Arial"/>
        </w:rPr>
        <w:t xml:space="preserve">CaixaBank, además, </w:t>
      </w:r>
      <w:r w:rsidR="009B2BBC" w:rsidRPr="00217FA0">
        <w:rPr>
          <w:rFonts w:ascii="Arial" w:hAnsi="Arial" w:cs="Arial"/>
        </w:rPr>
        <w:t>está</w:t>
      </w:r>
      <w:r w:rsidRPr="00217FA0">
        <w:rPr>
          <w:rFonts w:ascii="Arial" w:hAnsi="Arial" w:cs="Arial"/>
        </w:rPr>
        <w:t xml:space="preserve"> suscrit</w:t>
      </w:r>
      <w:r w:rsidR="009B2BBC" w:rsidRPr="00217FA0">
        <w:rPr>
          <w:rFonts w:ascii="Arial" w:hAnsi="Arial" w:cs="Arial"/>
        </w:rPr>
        <w:t>a</w:t>
      </w:r>
      <w:r w:rsidRPr="00217FA0">
        <w:rPr>
          <w:rFonts w:ascii="Arial" w:hAnsi="Arial" w:cs="Arial"/>
        </w:rPr>
        <w:t xml:space="preserve"> </w:t>
      </w:r>
      <w:r w:rsidR="009B2BBC" w:rsidRPr="00217FA0">
        <w:rPr>
          <w:rFonts w:ascii="Arial" w:hAnsi="Arial" w:cs="Arial"/>
        </w:rPr>
        <w:t xml:space="preserve">a la línea de avales otorgada por el Ministerio de Vivienda y Agenda Urbana y gestionada por el ICO para </w:t>
      </w:r>
      <w:r w:rsidR="009B2BBC" w:rsidRPr="00D06EDB">
        <w:rPr>
          <w:rFonts w:ascii="Arial" w:hAnsi="Arial" w:cs="Arial"/>
        </w:rPr>
        <w:t>la adquisición de la primera vivienda</w:t>
      </w:r>
      <w:r w:rsidR="0017285E">
        <w:rPr>
          <w:rFonts w:ascii="Arial" w:hAnsi="Arial" w:cs="Arial"/>
        </w:rPr>
        <w:t>.</w:t>
      </w:r>
    </w:p>
    <w:p w14:paraId="34A7457C" w14:textId="77777777" w:rsidR="00A6134C" w:rsidRDefault="00A6134C" w:rsidP="00DE6733">
      <w:pPr>
        <w:spacing w:line="276" w:lineRule="auto"/>
        <w:ind w:left="-426" w:right="-568"/>
        <w:jc w:val="both"/>
        <w:rPr>
          <w:rFonts w:ascii="Arial" w:hAnsi="Arial" w:cs="Arial"/>
        </w:rPr>
      </w:pPr>
    </w:p>
    <w:p w14:paraId="447C01A9" w14:textId="6DDACB1C" w:rsidR="00E6220D" w:rsidRPr="000841AD" w:rsidRDefault="00E6220D" w:rsidP="00EC4734">
      <w:pPr>
        <w:spacing w:line="276" w:lineRule="auto"/>
        <w:ind w:left="-426" w:right="-568"/>
        <w:jc w:val="both"/>
        <w:rPr>
          <w:rFonts w:ascii="Arial" w:hAnsi="Arial" w:cs="Arial"/>
        </w:rPr>
      </w:pPr>
    </w:p>
    <w:sectPr w:rsidR="00E6220D" w:rsidRPr="000841AD" w:rsidSect="00A453ED">
      <w:headerReference w:type="default" r:id="rId8"/>
      <w:footerReference w:type="default" r:id="rId9"/>
      <w:pgSz w:w="11906" w:h="16838"/>
      <w:pgMar w:top="2552" w:right="1701" w:bottom="2268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C8761" w14:textId="77777777" w:rsidR="00786E63" w:rsidRDefault="00786E63" w:rsidP="001E4FCE">
      <w:pPr>
        <w:spacing w:after="0" w:line="240" w:lineRule="auto"/>
      </w:pPr>
      <w:r>
        <w:separator/>
      </w:r>
    </w:p>
  </w:endnote>
  <w:endnote w:type="continuationSeparator" w:id="0">
    <w:p w14:paraId="41F8F36D" w14:textId="77777777" w:rsidR="00786E63" w:rsidRDefault="00786E63" w:rsidP="001E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0B65" w14:textId="70BC21B3" w:rsidR="008F0D64" w:rsidRPr="00B60236" w:rsidRDefault="00DB0385" w:rsidP="009D0564">
    <w:pPr>
      <w:pStyle w:val="Piedepgina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867D7E3" wp14:editId="68D9C0CC">
          <wp:simplePos x="0" y="0"/>
          <wp:positionH relativeFrom="column">
            <wp:posOffset>896633</wp:posOffset>
          </wp:positionH>
          <wp:positionV relativeFrom="page">
            <wp:posOffset>9385300</wp:posOffset>
          </wp:positionV>
          <wp:extent cx="5108027" cy="82296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8027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4D62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428C516" wp14:editId="7EF3F99E">
              <wp:simplePos x="0" y="0"/>
              <wp:positionH relativeFrom="page">
                <wp:posOffset>555625</wp:posOffset>
              </wp:positionH>
              <wp:positionV relativeFrom="paragraph">
                <wp:posOffset>-382905</wp:posOffset>
              </wp:positionV>
              <wp:extent cx="1466850" cy="354330"/>
              <wp:effectExtent l="0" t="0" r="0" b="0"/>
              <wp:wrapSquare wrapText="bothSides"/>
              <wp:docPr id="79141870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8DCE5" w14:textId="588597C6" w:rsidR="001D4F30" w:rsidRPr="001D4F30" w:rsidRDefault="001D4F3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de Comunicación </w:t>
                          </w:r>
                          <w:r w:rsidR="00FA716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Externa</w:t>
                          </w:r>
                        </w:p>
                        <w:p w14:paraId="44E21206" w14:textId="4AAAA049" w:rsidR="001D4F30" w:rsidRPr="001D4F30" w:rsidRDefault="00C263B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2" w:history="1">
                            <w:r w:rsidR="001D4F30" w:rsidRPr="001D4F30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2"/>
                              </w:rPr>
                              <w:t>prensa@caixabank.com</w:t>
                            </w:r>
                          </w:hyperlink>
                        </w:p>
                        <w:p w14:paraId="6513B798" w14:textId="319F4329" w:rsidR="001D4F30" w:rsidRPr="001D4F30" w:rsidRDefault="001D4F3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www.caixabank.com/comunicacion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28C51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3.75pt;margin-top:-30.15pt;width:115.5pt;height:27.9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" stroked="f">
              <v:textbox style="mso-fit-shape-to-text:t">
                <w:txbxContent>
                  <w:p w14:paraId="2948DCE5" w14:textId="588597C6" w:rsidR="001D4F30" w:rsidRPr="001D4F30" w:rsidRDefault="001D4F3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de Comunicación </w:t>
                    </w:r>
                    <w:r w:rsidR="00FA716A">
                      <w:rPr>
                        <w:rFonts w:ascii="Arial" w:hAnsi="Arial" w:cs="Arial"/>
                        <w:sz w:val="12"/>
                        <w:szCs w:val="12"/>
                      </w:rPr>
                      <w:t>Externa</w:t>
                    </w:r>
                  </w:p>
                  <w:p w14:paraId="44E21206" w14:textId="4AAAA049" w:rsidR="001D4F30" w:rsidRPr="001D4F30" w:rsidRDefault="00C263B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3" w:history="1">
                      <w:r w:rsidR="001D4F30" w:rsidRPr="001D4F30">
                        <w:rPr>
                          <w:rStyle w:val="Hipervnculo"/>
                          <w:rFonts w:ascii="Arial" w:hAnsi="Arial" w:cs="Arial"/>
                          <w:sz w:val="12"/>
                          <w:szCs w:val="12"/>
                        </w:rPr>
                        <w:t>prensa@caixabank.com</w:t>
                      </w:r>
                    </w:hyperlink>
                  </w:p>
                  <w:p w14:paraId="6513B798" w14:textId="319F4329" w:rsidR="001D4F30" w:rsidRPr="001D4F30" w:rsidRDefault="001D4F3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>www.caixabank.com/comunicacion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EE4D62"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B22A539" wp14:editId="13283326">
              <wp:simplePos x="0" y="0"/>
              <wp:positionH relativeFrom="page">
                <wp:align>center</wp:align>
              </wp:positionH>
              <wp:positionV relativeFrom="paragraph">
                <wp:posOffset>-560071</wp:posOffset>
              </wp:positionV>
              <wp:extent cx="6336030" cy="0"/>
              <wp:effectExtent l="0" t="0" r="0" b="0"/>
              <wp:wrapSquare wrapText="bothSides"/>
              <wp:docPr id="1588842618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360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E96B314" id="Conector recto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page" from="0,-44.1pt" to="498.9pt,-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" strokecolor="black [3200]" strokeweight=".5pt">
              <v:stroke joinstyle="miter"/>
              <o:lock v:ext="edit" shapetype="f"/>
              <w10:wrap type="square" anchorx="page"/>
            </v:line>
          </w:pict>
        </mc:Fallback>
      </mc:AlternateContent>
    </w:r>
  </w:p>
  <w:p w14:paraId="5C56A361" w14:textId="1499779E" w:rsidR="00D040E1" w:rsidRDefault="00C263B0" w:rsidP="00DB0385">
    <w:pPr>
      <w:pStyle w:val="Piedepgina"/>
      <w:tabs>
        <w:tab w:val="clear" w:pos="4252"/>
        <w:tab w:val="clear" w:pos="8504"/>
        <w:tab w:val="left" w:pos="5882"/>
      </w:tabs>
      <w:ind w:left="9204"/>
      <w:jc w:val="right"/>
    </w:pPr>
    <w:sdt>
      <w:sdtPr>
        <w:id w:val="-199964317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DB0385" w:rsidRPr="00B60236">
          <w:rPr>
            <w:rFonts w:ascii="Arial" w:hAnsi="Arial" w:cs="Arial"/>
            <w:sz w:val="16"/>
            <w:szCs w:val="16"/>
          </w:rPr>
          <w:fldChar w:fldCharType="begin"/>
        </w:r>
        <w:r w:rsidR="00DB0385" w:rsidRPr="00B60236">
          <w:rPr>
            <w:rFonts w:ascii="Arial" w:hAnsi="Arial" w:cs="Arial"/>
            <w:sz w:val="16"/>
            <w:szCs w:val="16"/>
          </w:rPr>
          <w:instrText>PAGE   \* MERGEFORMAT</w:instrText>
        </w:r>
        <w:r w:rsidR="00DB0385" w:rsidRPr="00B60236">
          <w:rPr>
            <w:rFonts w:ascii="Arial" w:hAnsi="Arial" w:cs="Arial"/>
            <w:sz w:val="16"/>
            <w:szCs w:val="16"/>
          </w:rPr>
          <w:fldChar w:fldCharType="separate"/>
        </w:r>
        <w:r w:rsidR="00DB0385">
          <w:rPr>
            <w:rFonts w:ascii="Arial" w:hAnsi="Arial" w:cs="Arial"/>
            <w:sz w:val="16"/>
            <w:szCs w:val="16"/>
          </w:rPr>
          <w:t>1</w:t>
        </w:r>
        <w:r w:rsidR="00DB0385" w:rsidRPr="00B60236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="00C010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5F98" w14:textId="77777777" w:rsidR="00786E63" w:rsidRDefault="00786E63" w:rsidP="001E4FCE">
      <w:pPr>
        <w:spacing w:after="0" w:line="240" w:lineRule="auto"/>
      </w:pPr>
      <w:r>
        <w:separator/>
      </w:r>
    </w:p>
  </w:footnote>
  <w:footnote w:type="continuationSeparator" w:id="0">
    <w:p w14:paraId="629EE2AE" w14:textId="77777777" w:rsidR="00786E63" w:rsidRDefault="00786E63" w:rsidP="001E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BF40" w14:textId="1705842A" w:rsidR="001E4FCE" w:rsidRDefault="00EE4D6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C15DA8" wp14:editId="0E2405F7">
              <wp:simplePos x="0" y="0"/>
              <wp:positionH relativeFrom="margin">
                <wp:align>center</wp:align>
              </wp:positionH>
              <wp:positionV relativeFrom="paragraph">
                <wp:posOffset>527685</wp:posOffset>
              </wp:positionV>
              <wp:extent cx="6286500" cy="177800"/>
              <wp:effectExtent l="0" t="0" r="0" b="0"/>
              <wp:wrapNone/>
              <wp:docPr id="75974475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6500" cy="177800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solidFill>
                          <a:srgbClr val="DBDED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20DDFC" id="Rectángulo 5" o:spid="_x0000_s1026" style="position:absolute;margin-left:0;margin-top:41.55pt;width:495pt;height:1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" fillcolor="#dbdedd" strokecolor="#dbdedd" strokeweight="1pt">
              <v:path arrowok="t"/>
              <w10:wrap anchorx="margin"/>
            </v:rect>
          </w:pict>
        </mc:Fallback>
      </mc:AlternateContent>
    </w:r>
    <w:r w:rsidR="001F5497">
      <w:rPr>
        <w:noProof/>
      </w:rPr>
      <w:drawing>
        <wp:anchor distT="0" distB="0" distL="114300" distR="114300" simplePos="0" relativeHeight="251661312" behindDoc="0" locked="0" layoutInCell="1" allowOverlap="1" wp14:anchorId="41E385E5" wp14:editId="1A479489">
          <wp:simplePos x="0" y="0"/>
          <wp:positionH relativeFrom="column">
            <wp:posOffset>-438785</wp:posOffset>
          </wp:positionH>
          <wp:positionV relativeFrom="paragraph">
            <wp:posOffset>46355</wp:posOffset>
          </wp:positionV>
          <wp:extent cx="1625600" cy="335280"/>
          <wp:effectExtent l="0" t="0" r="0" b="7620"/>
          <wp:wrapSquare wrapText="bothSides"/>
          <wp:docPr id="6" name="Imagen 6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1F87"/>
    <w:multiLevelType w:val="hybridMultilevel"/>
    <w:tmpl w:val="4BFA3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6159D"/>
    <w:multiLevelType w:val="hybridMultilevel"/>
    <w:tmpl w:val="C212A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45231"/>
    <w:multiLevelType w:val="hybridMultilevel"/>
    <w:tmpl w:val="B7F00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69190">
    <w:abstractNumId w:val="2"/>
  </w:num>
  <w:num w:numId="2" w16cid:durableId="1861431671">
    <w:abstractNumId w:val="0"/>
  </w:num>
  <w:num w:numId="3" w16cid:durableId="139928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3A"/>
    <w:rsid w:val="000022A2"/>
    <w:rsid w:val="00051CF6"/>
    <w:rsid w:val="0006627E"/>
    <w:rsid w:val="000841AD"/>
    <w:rsid w:val="000906F9"/>
    <w:rsid w:val="000B7D84"/>
    <w:rsid w:val="000D0614"/>
    <w:rsid w:val="000E073A"/>
    <w:rsid w:val="00106015"/>
    <w:rsid w:val="001131AA"/>
    <w:rsid w:val="00122020"/>
    <w:rsid w:val="0014220F"/>
    <w:rsid w:val="00142273"/>
    <w:rsid w:val="00154307"/>
    <w:rsid w:val="0017285E"/>
    <w:rsid w:val="00177D39"/>
    <w:rsid w:val="00180354"/>
    <w:rsid w:val="0018584B"/>
    <w:rsid w:val="001C0D47"/>
    <w:rsid w:val="001D4F30"/>
    <w:rsid w:val="001E4FCE"/>
    <w:rsid w:val="001F32B8"/>
    <w:rsid w:val="001F5497"/>
    <w:rsid w:val="00217FA0"/>
    <w:rsid w:val="0023518F"/>
    <w:rsid w:val="002671CB"/>
    <w:rsid w:val="0027655B"/>
    <w:rsid w:val="002F01A1"/>
    <w:rsid w:val="00312458"/>
    <w:rsid w:val="003806E1"/>
    <w:rsid w:val="003C2503"/>
    <w:rsid w:val="003C2C20"/>
    <w:rsid w:val="003D61EC"/>
    <w:rsid w:val="003E3727"/>
    <w:rsid w:val="003E5065"/>
    <w:rsid w:val="004437C3"/>
    <w:rsid w:val="00461175"/>
    <w:rsid w:val="004643CA"/>
    <w:rsid w:val="00481FEA"/>
    <w:rsid w:val="004A2D47"/>
    <w:rsid w:val="004D3A8D"/>
    <w:rsid w:val="00521D89"/>
    <w:rsid w:val="00522FCE"/>
    <w:rsid w:val="0052583A"/>
    <w:rsid w:val="005B3D52"/>
    <w:rsid w:val="005C37DB"/>
    <w:rsid w:val="005D71DA"/>
    <w:rsid w:val="005F6FD3"/>
    <w:rsid w:val="00601423"/>
    <w:rsid w:val="00604F02"/>
    <w:rsid w:val="00624B3E"/>
    <w:rsid w:val="00672CE4"/>
    <w:rsid w:val="00680800"/>
    <w:rsid w:val="006C45A5"/>
    <w:rsid w:val="006D1411"/>
    <w:rsid w:val="006F3588"/>
    <w:rsid w:val="00705A1A"/>
    <w:rsid w:val="007231C9"/>
    <w:rsid w:val="00773AD4"/>
    <w:rsid w:val="00786E63"/>
    <w:rsid w:val="00856A41"/>
    <w:rsid w:val="008B41E0"/>
    <w:rsid w:val="008C6BCC"/>
    <w:rsid w:val="008F0D64"/>
    <w:rsid w:val="00920790"/>
    <w:rsid w:val="00941AA3"/>
    <w:rsid w:val="00942951"/>
    <w:rsid w:val="00943D12"/>
    <w:rsid w:val="00973980"/>
    <w:rsid w:val="009B2BBC"/>
    <w:rsid w:val="009D0564"/>
    <w:rsid w:val="00A42B5D"/>
    <w:rsid w:val="00A449DE"/>
    <w:rsid w:val="00A453ED"/>
    <w:rsid w:val="00A6134C"/>
    <w:rsid w:val="00A65B8D"/>
    <w:rsid w:val="00A65F4E"/>
    <w:rsid w:val="00AB11B0"/>
    <w:rsid w:val="00B106AE"/>
    <w:rsid w:val="00B12ADE"/>
    <w:rsid w:val="00B60236"/>
    <w:rsid w:val="00BA5D51"/>
    <w:rsid w:val="00BC5966"/>
    <w:rsid w:val="00BC601B"/>
    <w:rsid w:val="00BF38E5"/>
    <w:rsid w:val="00C00B17"/>
    <w:rsid w:val="00C010B8"/>
    <w:rsid w:val="00C01864"/>
    <w:rsid w:val="00C16C70"/>
    <w:rsid w:val="00C263B0"/>
    <w:rsid w:val="00C3793F"/>
    <w:rsid w:val="00C538E8"/>
    <w:rsid w:val="00C57026"/>
    <w:rsid w:val="00C647A7"/>
    <w:rsid w:val="00CA20A2"/>
    <w:rsid w:val="00CA7946"/>
    <w:rsid w:val="00CC1975"/>
    <w:rsid w:val="00D040E1"/>
    <w:rsid w:val="00D46922"/>
    <w:rsid w:val="00D53DEB"/>
    <w:rsid w:val="00D67295"/>
    <w:rsid w:val="00D97E91"/>
    <w:rsid w:val="00DA0828"/>
    <w:rsid w:val="00DB0385"/>
    <w:rsid w:val="00DC6B3E"/>
    <w:rsid w:val="00DD6AE0"/>
    <w:rsid w:val="00DE6733"/>
    <w:rsid w:val="00E04058"/>
    <w:rsid w:val="00E101FD"/>
    <w:rsid w:val="00E6220D"/>
    <w:rsid w:val="00E67B16"/>
    <w:rsid w:val="00E95E9D"/>
    <w:rsid w:val="00EB5A1A"/>
    <w:rsid w:val="00EC4734"/>
    <w:rsid w:val="00EE4D62"/>
    <w:rsid w:val="00F41D7E"/>
    <w:rsid w:val="00F5329B"/>
    <w:rsid w:val="00F71694"/>
    <w:rsid w:val="00F71DF3"/>
    <w:rsid w:val="00FA4564"/>
    <w:rsid w:val="00FA716A"/>
    <w:rsid w:val="00FC7D71"/>
    <w:rsid w:val="00F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EFEDC"/>
  <w15:docId w15:val="{526255FC-4EC4-4B51-B17D-D6FEC0FA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8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F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FCE"/>
  </w:style>
  <w:style w:type="paragraph" w:styleId="Piedepgina">
    <w:name w:val="footer"/>
    <w:basedOn w:val="Normal"/>
    <w:link w:val="Piedepgina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FCE"/>
  </w:style>
  <w:style w:type="character" w:styleId="Hipervnculo">
    <w:name w:val="Hyperlink"/>
    <w:basedOn w:val="Fuentedeprrafopredeter"/>
    <w:uiPriority w:val="99"/>
    <w:unhideWhenUsed/>
    <w:rsid w:val="00D040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40E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C53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nsa@caixabank.com" TargetMode="External"/><Relationship Id="rId2" Type="http://schemas.openxmlformats.org/officeDocument/2006/relationships/hyperlink" Target="mailto:prensa@caixabank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FA71-1091-44DB-9F3B-72E37DC4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Pino</dc:creator>
  <cp:keywords/>
  <dc:description/>
  <cp:lastModifiedBy>ELENA MARIA MARTIN EGEA</cp:lastModifiedBy>
  <cp:revision>5</cp:revision>
  <cp:lastPrinted>2025-01-24T10:29:00Z</cp:lastPrinted>
  <dcterms:created xsi:type="dcterms:W3CDTF">2025-01-23T11:31:00Z</dcterms:created>
  <dcterms:modified xsi:type="dcterms:W3CDTF">2025-01-24T10:37:00Z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c11c9e-624c-4a75-9f78-0989052ff6ea_Enabled">
    <vt:lpwstr>true</vt:lpwstr>
  </property>
  <property fmtid="{D5CDD505-2E9C-101B-9397-08002B2CF9AE}" pid="3" name="MSIP_Label_c2c11c9e-624c-4a75-9f78-0989052ff6ea_SetDate">
    <vt:lpwstr>2022-09-12T12:11:05Z</vt:lpwstr>
  </property>
  <property fmtid="{D5CDD505-2E9C-101B-9397-08002B2CF9AE}" pid="4" name="MSIP_Label_c2c11c9e-624c-4a75-9f78-0989052ff6ea_Method">
    <vt:lpwstr>Standard</vt:lpwstr>
  </property>
  <property fmtid="{D5CDD505-2E9C-101B-9397-08002B2CF9AE}" pid="5" name="MSIP_Label_c2c11c9e-624c-4a75-9f78-0989052ff6ea_Name">
    <vt:lpwstr>c2c11c9e-624c-4a75-9f78-0989052ff6ea</vt:lpwstr>
  </property>
  <property fmtid="{D5CDD505-2E9C-101B-9397-08002B2CF9AE}" pid="6" name="MSIP_Label_c2c11c9e-624c-4a75-9f78-0989052ff6ea_SiteId">
    <vt:lpwstr>5df31d35-3ba9-481e-a3c8-ff9be3ee783b</vt:lpwstr>
  </property>
  <property fmtid="{D5CDD505-2E9C-101B-9397-08002B2CF9AE}" pid="7" name="MSIP_Label_c2c11c9e-624c-4a75-9f78-0989052ff6ea_ActionId">
    <vt:lpwstr>f42509b9-c4b9-45ea-b9b5-7713a7ee1d42</vt:lpwstr>
  </property>
  <property fmtid="{D5CDD505-2E9C-101B-9397-08002B2CF9AE}" pid="8" name="MSIP_Label_c2c11c9e-624c-4a75-9f78-0989052ff6ea_ContentBits">
    <vt:lpwstr>0</vt:lpwstr>
  </property>
</Properties>
</file>