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0CD" w14:textId="77777777" w:rsidR="00892FD5" w:rsidRPr="00EC4D45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6DBF1A6C" w14:textId="733664C5" w:rsidR="00EC4D45" w:rsidRDefault="00BA1A7E" w:rsidP="00EC4D45">
      <w:pPr>
        <w:pStyle w:val="Predeterminado"/>
        <w:ind w:left="-142"/>
        <w:jc w:val="center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>MicroBank</w:t>
      </w:r>
      <w:proofErr w:type="spellEnd"/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</w:t>
      </w:r>
      <w:r w:rsidR="00331B20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y CEEI Guadalajara 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firma</w:t>
      </w:r>
      <w:r w:rsidR="000A7F7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n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un convenio de colaboración </w:t>
      </w:r>
      <w:r w:rsidR="00EC4D45" w:rsidRPr="00146FE6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para incentivar el autoempleo y la actividad emprendedora</w:t>
      </w:r>
      <w:r w:rsidR="00EC4D45" w:rsidRPr="00612C8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</w:t>
      </w:r>
    </w:p>
    <w:p w14:paraId="53A535FA" w14:textId="77777777" w:rsidR="00892FD5" w:rsidRPr="006B1721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</w:pPr>
    </w:p>
    <w:p w14:paraId="2594C184" w14:textId="77777777" w:rsidR="00892FD5" w:rsidRPr="006B1721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1410B8F0" w14:textId="3D012A0E" w:rsidR="00EC4D45" w:rsidRDefault="00EC4D45" w:rsidP="0018716C">
      <w:pPr>
        <w:pStyle w:val="Prrafodelista"/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es-ES"/>
        </w:rPr>
      </w:pPr>
      <w:r w:rsidRPr="001363EA">
        <w:rPr>
          <w:rFonts w:ascii="Arial" w:hAnsi="Arial" w:cs="Arial"/>
          <w:b/>
          <w:i/>
          <w:iCs/>
          <w:color w:val="000000"/>
          <w:lang w:val="es-ES"/>
        </w:rPr>
        <w:t>El convenio firmado entre</w:t>
      </w:r>
      <w:r w:rsidR="00C23D2C">
        <w:rPr>
          <w:rFonts w:ascii="Arial" w:hAnsi="Arial" w:cs="Arial"/>
          <w:b/>
          <w:i/>
          <w:iCs/>
          <w:color w:val="000000"/>
          <w:lang w:val="es-ES"/>
        </w:rPr>
        <w:t xml:space="preserve"> </w:t>
      </w:r>
      <w:r w:rsidR="00A638B6">
        <w:rPr>
          <w:rFonts w:ascii="Arial" w:hAnsi="Arial" w:cs="Arial"/>
          <w:b/>
          <w:i/>
          <w:iCs/>
          <w:color w:val="000000"/>
          <w:lang w:val="es-ES"/>
        </w:rPr>
        <w:t>las dos entidades</w:t>
      </w:r>
      <w:r w:rsidRPr="001363EA">
        <w:rPr>
          <w:rFonts w:ascii="Arial" w:hAnsi="Arial" w:cs="Arial"/>
          <w:b/>
          <w:i/>
          <w:iCs/>
          <w:color w:val="000000"/>
          <w:lang w:val="es-ES"/>
        </w:rPr>
        <w:t xml:space="preserve"> favorecerá la igualdad de oportunidades a través de una línea de financiación que fomenta la creación de empleo y el emprendimiento de los colectivos con más dificultades.</w:t>
      </w:r>
    </w:p>
    <w:p w14:paraId="75EF7D2A" w14:textId="61E4F36F" w:rsidR="00892FD5" w:rsidRPr="00B3261B" w:rsidRDefault="00892FD5" w:rsidP="00EC4D45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es-ES"/>
        </w:rPr>
      </w:pPr>
    </w:p>
    <w:p w14:paraId="7FA1B19C" w14:textId="77777777" w:rsidR="00101BDD" w:rsidRPr="00B3261B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7927A986" w14:textId="3E528E7E" w:rsidR="008E1EA6" w:rsidRDefault="001875FD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Guadalajara</w:t>
      </w:r>
      <w:r w:rsidR="00EC4D45" w:rsidRPr="00EC4D45">
        <w:rPr>
          <w:rFonts w:ascii="Arial" w:hAnsi="Arial" w:cs="Arial"/>
          <w:b/>
          <w:sz w:val="22"/>
          <w:szCs w:val="22"/>
        </w:rPr>
        <w:t xml:space="preserve">, </w:t>
      </w:r>
      <w:r w:rsidR="006B1721">
        <w:rPr>
          <w:rFonts w:ascii="Arial" w:hAnsi="Arial" w:cs="Arial"/>
          <w:b/>
          <w:sz w:val="22"/>
          <w:szCs w:val="22"/>
        </w:rPr>
        <w:t xml:space="preserve">11 de julio </w:t>
      </w:r>
      <w:r w:rsidR="00DD6665">
        <w:rPr>
          <w:rFonts w:ascii="Arial" w:hAnsi="Arial" w:cs="Arial"/>
          <w:b/>
          <w:sz w:val="22"/>
          <w:szCs w:val="22"/>
        </w:rPr>
        <w:t>de 202</w:t>
      </w:r>
      <w:r w:rsidR="00085F67">
        <w:rPr>
          <w:rFonts w:ascii="Arial" w:hAnsi="Arial" w:cs="Arial"/>
          <w:b/>
          <w:sz w:val="22"/>
          <w:szCs w:val="22"/>
        </w:rPr>
        <w:t>4</w:t>
      </w:r>
    </w:p>
    <w:p w14:paraId="1E30B1DA" w14:textId="77777777" w:rsidR="009A11A4" w:rsidRDefault="009A11A4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</w:p>
    <w:p w14:paraId="2F1983E1" w14:textId="5BF58E83" w:rsidR="00EC4D45" w:rsidRPr="00EC4D45" w:rsidRDefault="00C246FA" w:rsidP="00EC4D45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</w:t>
      </w:r>
      <w:r w:rsidR="002E03AD">
        <w:rPr>
          <w:rFonts w:ascii="Arial" w:hAnsi="Arial" w:cs="Arial"/>
          <w:sz w:val="22"/>
          <w:szCs w:val="22"/>
          <w:lang w:val="es-ES"/>
        </w:rPr>
        <w:t>l</w:t>
      </w:r>
      <w:r w:rsidR="001875F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director general de la </w:t>
      </w:r>
      <w:r w:rsidR="001875FD" w:rsidRPr="001875FD">
        <w:rPr>
          <w:rFonts w:ascii="Arial" w:hAnsi="Arial" w:cs="Arial"/>
          <w:color w:val="000000" w:themeColor="text1"/>
          <w:sz w:val="22"/>
          <w:szCs w:val="22"/>
          <w:lang w:val="es-ES"/>
        </w:rPr>
        <w:t>Fundación Centro Europeo de Empresas e Innovación de Guadalajara</w:t>
      </w:r>
      <w:r w:rsidR="001875F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(CEEI Guadalajara), Javier Arriola,</w:t>
      </w:r>
      <w:r w:rsidR="007C5F80">
        <w:rPr>
          <w:rFonts w:ascii="Arial" w:hAnsi="Arial" w:cs="Arial"/>
          <w:sz w:val="22"/>
          <w:szCs w:val="22"/>
          <w:lang w:val="es-ES"/>
        </w:rPr>
        <w:t xml:space="preserve"> </w:t>
      </w:r>
      <w:r w:rsidR="002E03AD">
        <w:rPr>
          <w:rFonts w:ascii="Arial" w:hAnsi="Arial" w:cs="Arial"/>
          <w:sz w:val="22"/>
          <w:szCs w:val="22"/>
          <w:lang w:val="es-ES"/>
        </w:rPr>
        <w:t xml:space="preserve">y </w:t>
      </w:r>
      <w:r w:rsidR="00CE1344">
        <w:rPr>
          <w:rFonts w:ascii="Arial" w:hAnsi="Arial" w:cs="Arial"/>
          <w:sz w:val="22"/>
          <w:szCs w:val="22"/>
          <w:lang w:val="es-ES"/>
        </w:rPr>
        <w:t xml:space="preserve">la directora de Banca de Instituciones de Guadalajara, </w:t>
      </w:r>
      <w:r w:rsidR="007839A7">
        <w:rPr>
          <w:rFonts w:ascii="Arial" w:hAnsi="Arial" w:cs="Arial"/>
          <w:sz w:val="22"/>
          <w:szCs w:val="22"/>
          <w:lang w:val="es-ES"/>
        </w:rPr>
        <w:t xml:space="preserve">Esther Moreno, </w:t>
      </w:r>
      <w:r w:rsidR="00EC4D45" w:rsidRPr="00EC4D45">
        <w:rPr>
          <w:rFonts w:ascii="Arial" w:hAnsi="Arial" w:cs="Arial"/>
          <w:sz w:val="22"/>
          <w:szCs w:val="22"/>
          <w:lang w:val="es-ES"/>
        </w:rPr>
        <w:t xml:space="preserve">han firmado un convenio de colaboración para facilitar la financiación de proyectos empresariales a través de microcréditos. </w:t>
      </w:r>
    </w:p>
    <w:p w14:paraId="00E52210" w14:textId="2DBC135C" w:rsid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Con la firma de este acuerdo, </w:t>
      </w:r>
      <w:r w:rsidR="00DC269D">
        <w:rPr>
          <w:rFonts w:ascii="Arial" w:eastAsia="SimSun" w:hAnsi="Arial" w:cs="Arial"/>
          <w:sz w:val="22"/>
          <w:szCs w:val="22"/>
          <w:lang w:val="es-ES_tradnl"/>
        </w:rPr>
        <w:t xml:space="preserve">impulsado por la directora general de </w:t>
      </w:r>
      <w:proofErr w:type="spellStart"/>
      <w:r w:rsidR="00DC269D">
        <w:rPr>
          <w:rFonts w:ascii="Arial" w:eastAsia="SimSun" w:hAnsi="Arial" w:cs="Arial"/>
          <w:sz w:val="22"/>
          <w:szCs w:val="22"/>
          <w:lang w:val="es-ES_tradnl"/>
        </w:rPr>
        <w:t>MicrBank</w:t>
      </w:r>
      <w:proofErr w:type="spellEnd"/>
      <w:r w:rsidR="00C246FA">
        <w:rPr>
          <w:rFonts w:ascii="Arial" w:eastAsia="SimSun" w:hAnsi="Arial" w:cs="Arial"/>
          <w:sz w:val="22"/>
          <w:szCs w:val="22"/>
          <w:lang w:val="es-ES_tradnl"/>
        </w:rPr>
        <w:t xml:space="preserve">, Cristina González, y el CEEI de Guadalajara,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se establece una línea de financiación de 1 millón de euros para potenciar el autoempleo e incentivar la actividad emprendedora, favoreciendo la igualdad de oportunidades entre hombres y mujeres, nuevos residentes, personas con discapacidad y con especial atención a los colectivos en situación de vulnerabilidad. En base a este convenio, se financiará la creación o ampliación de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br/>
        <w:t>microempresas, negocios de autónomos y proyectos de autoempleo con el objetivo de contribuir al desarrollo del tejido productivo y al progreso social.</w:t>
      </w:r>
    </w:p>
    <w:p w14:paraId="39020CCC" w14:textId="5D7F7759" w:rsidR="007839A7" w:rsidRPr="00EC4D45" w:rsidRDefault="007839A7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>
        <w:rPr>
          <w:rFonts w:ascii="Arial" w:eastAsia="SimSun" w:hAnsi="Arial" w:cs="Arial"/>
          <w:sz w:val="22"/>
          <w:szCs w:val="22"/>
          <w:lang w:val="es-ES_tradnl"/>
        </w:rPr>
        <w:t>A la ratificación del convenio también han asistido</w:t>
      </w:r>
      <w:r w:rsidR="006C6DC8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>
        <w:rPr>
          <w:rFonts w:ascii="Arial" w:eastAsia="SimSun" w:hAnsi="Arial" w:cs="Arial"/>
          <w:sz w:val="22"/>
          <w:szCs w:val="22"/>
          <w:lang w:val="es-ES_tradnl"/>
        </w:rPr>
        <w:t xml:space="preserve">Modesto Méndez, </w:t>
      </w:r>
      <w:r w:rsidR="00276A64">
        <w:rPr>
          <w:rFonts w:ascii="Arial" w:eastAsia="SimSun" w:hAnsi="Arial" w:cs="Arial"/>
          <w:sz w:val="22"/>
          <w:szCs w:val="22"/>
          <w:lang w:val="es-ES_tradnl"/>
        </w:rPr>
        <w:t xml:space="preserve">gestor de clientes pymes </w:t>
      </w:r>
      <w:r w:rsidR="006C6DC8">
        <w:rPr>
          <w:rFonts w:ascii="Arial" w:eastAsia="SimSun" w:hAnsi="Arial" w:cs="Arial"/>
          <w:sz w:val="22"/>
          <w:szCs w:val="22"/>
          <w:lang w:val="es-ES_tradnl"/>
        </w:rPr>
        <w:t xml:space="preserve">de CaixaBank </w:t>
      </w:r>
      <w:r w:rsidR="003B15D0">
        <w:rPr>
          <w:rFonts w:ascii="Arial" w:eastAsia="SimSun" w:hAnsi="Arial" w:cs="Arial"/>
          <w:sz w:val="22"/>
          <w:szCs w:val="22"/>
          <w:lang w:val="es-ES_tradnl"/>
        </w:rPr>
        <w:t>en Guadalajara</w:t>
      </w:r>
      <w:r w:rsidR="00276A64">
        <w:rPr>
          <w:rFonts w:ascii="Arial" w:eastAsia="SimSun" w:hAnsi="Arial" w:cs="Arial"/>
          <w:sz w:val="22"/>
          <w:szCs w:val="22"/>
          <w:lang w:val="es-ES_tradnl"/>
        </w:rPr>
        <w:t>,</w:t>
      </w:r>
      <w:r w:rsidR="003B15D0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6C6DC8">
        <w:rPr>
          <w:rFonts w:ascii="Arial" w:eastAsia="SimSun" w:hAnsi="Arial" w:cs="Arial"/>
          <w:sz w:val="22"/>
          <w:szCs w:val="22"/>
          <w:lang w:val="es-ES_tradnl"/>
        </w:rPr>
        <w:t xml:space="preserve">y </w:t>
      </w:r>
      <w:r w:rsidR="00C30BCD">
        <w:rPr>
          <w:rFonts w:ascii="Arial" w:eastAsia="SimSun" w:hAnsi="Arial" w:cs="Arial"/>
          <w:sz w:val="22"/>
          <w:szCs w:val="22"/>
          <w:lang w:val="es-ES_tradnl"/>
        </w:rPr>
        <w:t xml:space="preserve">el director técnico del CEEI de Guadalajara, </w:t>
      </w:r>
      <w:r w:rsidR="006C6DC8">
        <w:rPr>
          <w:rFonts w:ascii="Arial" w:eastAsia="SimSun" w:hAnsi="Arial" w:cs="Arial"/>
          <w:sz w:val="22"/>
          <w:szCs w:val="22"/>
          <w:lang w:val="es-ES_tradnl"/>
        </w:rPr>
        <w:t>Enrique</w:t>
      </w:r>
      <w:r w:rsidR="00C30BCD">
        <w:rPr>
          <w:rFonts w:ascii="Arial" w:eastAsia="SimSun" w:hAnsi="Arial" w:cs="Arial"/>
          <w:sz w:val="22"/>
          <w:szCs w:val="22"/>
          <w:lang w:val="es-ES_tradnl"/>
        </w:rPr>
        <w:t xml:space="preserve"> Aranda.</w:t>
      </w:r>
    </w:p>
    <w:p w14:paraId="6934B097" w14:textId="494FAE62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Los beneficiarios serán profesionales autónomos y microempresas con menos de diez trabajadores y una facturación anual inferior a dos millones de euros. Los solicitantes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lastRenderedPageBreak/>
        <w:t xml:space="preserve">podrán optar a microcréditos por un importe máximo de </w:t>
      </w:r>
      <w:r w:rsidR="00DD6665">
        <w:rPr>
          <w:rFonts w:ascii="Arial" w:eastAsia="SimSun" w:hAnsi="Arial" w:cs="Arial"/>
          <w:sz w:val="22"/>
          <w:szCs w:val="22"/>
          <w:lang w:val="es-ES_tradnl"/>
        </w:rPr>
        <w:t>30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.000 euros. Los proyectos </w:t>
      </w:r>
      <w:r w:rsidRPr="0016527C">
        <w:rPr>
          <w:rFonts w:ascii="Arial" w:eastAsia="SimSun" w:hAnsi="Arial" w:cs="Arial"/>
          <w:sz w:val="22"/>
          <w:szCs w:val="22"/>
          <w:lang w:val="es-ES_tradnl"/>
        </w:rPr>
        <w:t>deben tener un plan de empresa y el informe favorable de viabilidad elaborado por</w:t>
      </w:r>
      <w:r w:rsidR="008523E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1875FD">
        <w:rPr>
          <w:rFonts w:ascii="Arial" w:eastAsia="SimSun" w:hAnsi="Arial" w:cs="Arial"/>
          <w:sz w:val="22"/>
          <w:szCs w:val="22"/>
          <w:lang w:val="es-ES_tradnl"/>
        </w:rPr>
        <w:t>CEEI Guadalajara.</w:t>
      </w:r>
    </w:p>
    <w:p w14:paraId="25677064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El criterio de concesión de microcréditos por parte de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atiende fundamentalmente a la confianza en la persona o el equipo que solicita el préstamo y la viabilidad del proyecto, pudiendo acceder personas carentes de garantías y avales.</w:t>
      </w:r>
    </w:p>
    <w:p w14:paraId="0C4F7683" w14:textId="73FFC672" w:rsid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En virtud de este convenio, la entidad se compromete a detectar las necesidades de financiación, con el fin de promover el autoempleo y el establecimiento, consolidación o ampliación de microempresas y negocios de autónomos y dirigir a las personas físicas o jurídicas asesoradas por la institución a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para que éste analice, y en su caso apruebe, las solicitudes de financiación.</w:t>
      </w:r>
    </w:p>
    <w:p w14:paraId="6347B70F" w14:textId="4944E968" w:rsidR="002965BC" w:rsidRDefault="001875FD" w:rsidP="001875FD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>
        <w:rPr>
          <w:rFonts w:ascii="Arial" w:eastAsia="SimSun" w:hAnsi="Arial" w:cs="Arial"/>
          <w:sz w:val="22"/>
          <w:szCs w:val="22"/>
          <w:lang w:val="es-ES_tradnl"/>
        </w:rPr>
        <w:t xml:space="preserve">CEEI Guadalajara </w:t>
      </w:r>
      <w:r w:rsidRPr="001875FD">
        <w:rPr>
          <w:rFonts w:ascii="Arial" w:eastAsia="SimSun" w:hAnsi="Arial" w:cs="Arial"/>
          <w:sz w:val="22"/>
          <w:szCs w:val="22"/>
          <w:lang w:val="es-ES_tradnl"/>
        </w:rPr>
        <w:t>cuenta con</w:t>
      </w:r>
      <w:r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1875FD">
        <w:rPr>
          <w:rFonts w:ascii="Arial" w:eastAsia="SimSun" w:hAnsi="Arial" w:cs="Arial"/>
          <w:sz w:val="22"/>
          <w:szCs w:val="22"/>
          <w:lang w:val="es-ES_tradnl"/>
        </w:rPr>
        <w:t>servicios de atención, información, asesoramiento y tutorización al emprendimiento y la</w:t>
      </w:r>
      <w:r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1875FD">
        <w:rPr>
          <w:rFonts w:ascii="Arial" w:eastAsia="SimSun" w:hAnsi="Arial" w:cs="Arial"/>
          <w:sz w:val="22"/>
          <w:szCs w:val="22"/>
          <w:lang w:val="es-ES_tradnl"/>
        </w:rPr>
        <w:t xml:space="preserve">innovación. </w:t>
      </w:r>
      <w:r>
        <w:rPr>
          <w:rFonts w:ascii="Arial" w:eastAsia="SimSun" w:hAnsi="Arial" w:cs="Arial"/>
          <w:sz w:val="22"/>
          <w:szCs w:val="22"/>
          <w:lang w:val="es-ES_tradnl"/>
        </w:rPr>
        <w:t>La entidad promueve e</w:t>
      </w:r>
      <w:r w:rsidRPr="001875FD">
        <w:rPr>
          <w:rFonts w:ascii="Arial" w:eastAsia="SimSun" w:hAnsi="Arial" w:cs="Arial"/>
          <w:sz w:val="22"/>
          <w:szCs w:val="22"/>
          <w:lang w:val="es-ES_tradnl"/>
        </w:rPr>
        <w:t>l espíritu emprendedor en la sociedad y localiza potenciales</w:t>
      </w:r>
      <w:r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Pr="001875FD">
        <w:rPr>
          <w:rFonts w:ascii="Arial" w:eastAsia="SimSun" w:hAnsi="Arial" w:cs="Arial"/>
          <w:sz w:val="22"/>
          <w:szCs w:val="22"/>
          <w:lang w:val="es-ES_tradnl"/>
        </w:rPr>
        <w:t>emprendedores con iniciativas innovadoras.</w:t>
      </w:r>
    </w:p>
    <w:p w14:paraId="5712E583" w14:textId="77777777" w:rsidR="00085F67" w:rsidRPr="009C47A5" w:rsidRDefault="00085F67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538657F" w14:textId="77777777" w:rsidR="00A701FD" w:rsidRDefault="00A701FD" w:rsidP="00A701FD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el banco social de CaixaBank, completa el compromiso de la entidad con una manera de hacer banca socialmente responsable y de generar con su actividad un impacto positivo en la sociedad.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tiene como misión contribuir al progreso y el bienestar de la sociedad facilitando financiación a aquellos colectivos y proyectos donde se genere un impacto social.</w:t>
      </w:r>
    </w:p>
    <w:p w14:paraId="2B27AFB5" w14:textId="2C40DC4E" w:rsidR="00E90DD1" w:rsidRDefault="00E346B1" w:rsidP="00013185">
      <w:pPr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346B1">
        <w:rPr>
          <w:rFonts w:ascii="Arial" w:eastAsia="SimSun" w:hAnsi="Arial" w:cs="Arial"/>
          <w:sz w:val="22"/>
          <w:szCs w:val="22"/>
          <w:lang w:val="es-ES_tradnl"/>
        </w:rPr>
        <w:t xml:space="preserve">A lo largo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2023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, </w:t>
      </w:r>
      <w:proofErr w:type="spellStart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ha financiado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Castilla-La Mancha 3.875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proyectos con impacto social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36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euros, de los cuales </w:t>
      </w:r>
      <w:r w:rsidR="00BF0467">
        <w:rPr>
          <w:rFonts w:ascii="Arial" w:hAnsi="Arial" w:cs="Arial"/>
          <w:noProof/>
          <w:sz w:val="22"/>
          <w:szCs w:val="22"/>
          <w:lang w:val="es-ES_tradnl"/>
        </w:rPr>
        <w:t xml:space="preserve">3.322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microcréditos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25,5</w:t>
      </w:r>
      <w:r w:rsidR="00CC47D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millones de euros se destinaron a afrontar necesidades puntuales de familias y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419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por un importe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5,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 se concedieron para apoyar a emprendedores y microempresas. Las líneas específicas por sectores con impacto social consiguieron materializar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Castilla-La Mancha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1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34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proyectos de economía social, educación, emprendimiento, innovación y salud por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en 2023.</w:t>
      </w:r>
    </w:p>
    <w:p w14:paraId="23A4BB4D" w14:textId="77777777" w:rsidR="00E90DD1" w:rsidRPr="00C62790" w:rsidRDefault="00E90DD1" w:rsidP="00013185">
      <w:pPr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2F26DE9A" w14:textId="4A13CB0B" w:rsidR="0016527C" w:rsidRDefault="008C5FA3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  <w:r>
        <w:rPr>
          <w:rFonts w:ascii="Arial" w:hAnsi="Arial" w:cs="Arial"/>
          <w:b/>
          <w:bCs/>
          <w:color w:val="262626"/>
          <w:lang w:val="es-ES_tradnl"/>
        </w:rPr>
        <w:lastRenderedPageBreak/>
        <w:t>2</w:t>
      </w:r>
      <w:r w:rsidR="00FE041F">
        <w:rPr>
          <w:rFonts w:ascii="Arial" w:hAnsi="Arial" w:cs="Arial"/>
          <w:b/>
          <w:bCs/>
          <w:color w:val="262626"/>
          <w:lang w:val="es-ES_tradnl"/>
        </w:rPr>
        <w:t>7</w:t>
      </w:r>
      <w:r>
        <w:rPr>
          <w:rFonts w:ascii="Arial" w:hAnsi="Arial" w:cs="Arial"/>
          <w:b/>
          <w:bCs/>
          <w:color w:val="262626"/>
          <w:lang w:val="es-ES_tradnl"/>
        </w:rPr>
        <w:t>0</w:t>
      </w:r>
      <w:r w:rsidR="0016527C">
        <w:rPr>
          <w:rFonts w:ascii="Arial" w:hAnsi="Arial" w:cs="Arial"/>
          <w:b/>
          <w:bCs/>
          <w:color w:val="262626"/>
          <w:lang w:val="es-ES_tradnl"/>
        </w:rPr>
        <w:t xml:space="preserve"> entidades </w:t>
      </w:r>
      <w:r w:rsidR="00A701FD">
        <w:rPr>
          <w:rFonts w:ascii="Arial" w:hAnsi="Arial" w:cs="Arial"/>
          <w:b/>
          <w:bCs/>
          <w:color w:val="262626"/>
          <w:lang w:val="es-ES_tradnl"/>
        </w:rPr>
        <w:t>colaboradoras activas</w:t>
      </w:r>
    </w:p>
    <w:p w14:paraId="118C9791" w14:textId="5207C5AA" w:rsidR="009A11A4" w:rsidRPr="006B1721" w:rsidRDefault="0016527C" w:rsidP="0016527C">
      <w:pPr>
        <w:spacing w:after="160" w:line="360" w:lineRule="auto"/>
        <w:jc w:val="both"/>
        <w:rPr>
          <w:rFonts w:asciiTheme="majorHAnsi" w:hAnsiTheme="majorHAnsi" w:cstheme="majorHAnsi"/>
          <w:noProof/>
          <w:sz w:val="16"/>
          <w:szCs w:val="16"/>
          <w:lang w:val="es-ES"/>
        </w:rPr>
      </w:pPr>
      <w:r w:rsidRPr="0016527C">
        <w:rPr>
          <w:rFonts w:ascii="Arial" w:hAnsi="Arial" w:cs="Arial"/>
          <w:sz w:val="22"/>
          <w:szCs w:val="22"/>
          <w:lang w:val="es-ES_tradnl"/>
        </w:rPr>
        <w:t xml:space="preserve">En la concesión de los microcréditos, además de la </w:t>
      </w:r>
      <w:r w:rsidR="009843E7">
        <w:rPr>
          <w:rFonts w:ascii="Arial" w:hAnsi="Arial" w:cs="Arial"/>
          <w:sz w:val="22"/>
          <w:szCs w:val="22"/>
          <w:lang w:val="es-ES_tradnl"/>
        </w:rPr>
        <w:t>extensa red de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oficinas de CaixaBank, colaboran entidades que aportan conocimiento de las personas destinatarias de los préstamos, además de asesorar y realizar un seguimiento de los proyectos. Actualmente, hay </w:t>
      </w:r>
      <w:r w:rsidR="00704FDD">
        <w:rPr>
          <w:rFonts w:ascii="Arial" w:hAnsi="Arial" w:cs="Arial"/>
          <w:sz w:val="22"/>
          <w:szCs w:val="22"/>
          <w:lang w:val="es-ES_tradnl"/>
        </w:rPr>
        <w:t>2</w:t>
      </w:r>
      <w:r w:rsidR="00FE041F">
        <w:rPr>
          <w:rFonts w:ascii="Arial" w:hAnsi="Arial" w:cs="Arial"/>
          <w:sz w:val="22"/>
          <w:szCs w:val="22"/>
          <w:lang w:val="es-ES_tradnl"/>
        </w:rPr>
        <w:t>7</w:t>
      </w:r>
      <w:r w:rsidR="00704FDD">
        <w:rPr>
          <w:rFonts w:ascii="Arial" w:hAnsi="Arial" w:cs="Arial"/>
          <w:sz w:val="22"/>
          <w:szCs w:val="22"/>
          <w:lang w:val="es-ES_tradnl"/>
        </w:rPr>
        <w:t>0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entidades que actúan de manera activa por toda España. Las entidades colaboradoras son organizaciones de todo tipo con experiencia en acciones de asistencia económica y social dirigidas a potenciar la creación de microempresas, fomentar el autoempleo e incentivar la actividad emprendedora.</w:t>
      </w:r>
      <w:r w:rsidRPr="00C53A18">
        <w:rPr>
          <w:rFonts w:ascii="Calibri Light" w:hAnsi="Calibri Light" w:cs="Calibri Light"/>
          <w:sz w:val="22"/>
          <w:szCs w:val="22"/>
          <w:lang w:val="es-ES"/>
        </w:rPr>
        <w:t>   </w:t>
      </w:r>
      <w:r w:rsidR="00290978" w:rsidRPr="006B1721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</w:t>
      </w:r>
      <w:r w:rsidR="008101F7" w:rsidRPr="006B1721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0978" w:rsidRPr="006B1721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</w:t>
      </w:r>
      <w:r w:rsidR="009A11A4" w:rsidRPr="006B1721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</w:t>
      </w:r>
    </w:p>
    <w:p w14:paraId="2F1976E2" w14:textId="30FE90BB" w:rsidR="006E6E19" w:rsidRPr="006B1721" w:rsidRDefault="009A11A4" w:rsidP="00185B34">
      <w:pPr>
        <w:pStyle w:val="Prrafobsico"/>
        <w:suppressAutoHyphens/>
        <w:spacing w:before="227" w:line="276" w:lineRule="auto"/>
        <w:ind w:left="-426"/>
        <w:jc w:val="both"/>
        <w:rPr>
          <w:noProof/>
          <w:szCs w:val="22"/>
          <w:lang w:val="es-ES"/>
        </w:rPr>
      </w:pPr>
      <w:r w:rsidRPr="006B1721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E6E19" w:rsidRPr="006B1721" w:rsidSect="008B2408">
      <w:headerReference w:type="default" r:id="rId8"/>
      <w:footerReference w:type="even" r:id="rId9"/>
      <w:footerReference w:type="default" r:id="rId10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CECB" w14:textId="77777777" w:rsidR="00A07970" w:rsidRDefault="00A07970" w:rsidP="000360D2">
      <w:r>
        <w:separator/>
      </w:r>
    </w:p>
  </w:endnote>
  <w:endnote w:type="continuationSeparator" w:id="0">
    <w:p w14:paraId="73AB9885" w14:textId="77777777" w:rsidR="00A07970" w:rsidRDefault="00A07970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17E7774F" w:rsidR="00B4497F" w:rsidRDefault="00D76FE4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760640" behindDoc="1" locked="0" layoutInCell="1" allowOverlap="1" wp14:anchorId="25D8C4BA" wp14:editId="07B4F74B">
          <wp:simplePos x="0" y="0"/>
          <wp:positionH relativeFrom="margin">
            <wp:posOffset>1061085</wp:posOffset>
          </wp:positionH>
          <wp:positionV relativeFrom="paragraph">
            <wp:posOffset>-756285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2F7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7E0C894E">
              <wp:simplePos x="0" y="0"/>
              <wp:positionH relativeFrom="column">
                <wp:posOffset>-489585</wp:posOffset>
              </wp:positionH>
              <wp:positionV relativeFrom="paragraph">
                <wp:posOffset>-546100</wp:posOffset>
              </wp:positionV>
              <wp:extent cx="2219325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932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F3EDA" w14:textId="77777777" w:rsidR="00DD6665" w:rsidRPr="00FC62F4" w:rsidRDefault="00DD6665" w:rsidP="00DD6665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Externa 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ank.com</w:t>
                          </w:r>
                        </w:p>
                        <w:p w14:paraId="477AE439" w14:textId="77777777" w:rsidR="00DD6665" w:rsidRPr="0042506E" w:rsidRDefault="00DD6665" w:rsidP="00DD666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  <w:p w14:paraId="2A44D5BD" w14:textId="1E2F5511" w:rsidR="00BE06CC" w:rsidRPr="0042506E" w:rsidRDefault="00BE06CC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8.55pt;margin-top:-43pt;width:174.75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" filled="f" stroked="f">
              <v:textbox>
                <w:txbxContent>
                  <w:p w14:paraId="18DF3EDA" w14:textId="77777777" w:rsidR="00DD6665" w:rsidRPr="00FC62F4" w:rsidRDefault="00DD6665" w:rsidP="00DD6665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Externa 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ank.com</w:t>
                    </w:r>
                  </w:p>
                  <w:p w14:paraId="477AE439" w14:textId="77777777" w:rsidR="00DD6665" w:rsidRPr="0042506E" w:rsidRDefault="00DD6665" w:rsidP="00DD6665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  <w:p w14:paraId="2A44D5BD" w14:textId="1E2F5511" w:rsidR="00BE06CC" w:rsidRPr="0042506E" w:rsidRDefault="00BE06CC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6FB5E18C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824845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zQ4yx4AAA&#10;AA0BAAAPAAAAAAAAAAAAAAAAAGIEAABkcnMvZG93bnJldi54bWxQSwUGAAAAAAQABADzAAAAbwUA&#10;AAAA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E5FF" w14:textId="77777777" w:rsidR="00A07970" w:rsidRDefault="00A07970" w:rsidP="000360D2">
      <w:r>
        <w:separator/>
      </w:r>
    </w:p>
  </w:footnote>
  <w:footnote w:type="continuationSeparator" w:id="0">
    <w:p w14:paraId="1E4502D2" w14:textId="77777777" w:rsidR="00A07970" w:rsidRDefault="00A07970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1FFD66AD" w:rsidR="00792603" w:rsidRDefault="001875FD">
    <w:pPr>
      <w:pStyle w:val="Encabezado"/>
    </w:pPr>
    <w:r>
      <w:rPr>
        <w:noProof/>
      </w:rPr>
      <w:drawing>
        <wp:anchor distT="0" distB="0" distL="114300" distR="114300" simplePos="0" relativeHeight="251761664" behindDoc="0" locked="0" layoutInCell="1" allowOverlap="1" wp14:anchorId="05999817" wp14:editId="56721727">
          <wp:simplePos x="0" y="0"/>
          <wp:positionH relativeFrom="column">
            <wp:posOffset>4799965</wp:posOffset>
          </wp:positionH>
          <wp:positionV relativeFrom="paragraph">
            <wp:posOffset>-69850</wp:posOffset>
          </wp:positionV>
          <wp:extent cx="955675" cy="514350"/>
          <wp:effectExtent l="0" t="0" r="0" b="0"/>
          <wp:wrapSquare wrapText="bothSides"/>
          <wp:docPr id="419730680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730680" name="Imagen 1" descr="Un dibujo de una cara feliz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467">
      <w:rPr>
        <w:noProof/>
      </w:rPr>
      <w:drawing>
        <wp:anchor distT="0" distB="0" distL="114300" distR="114300" simplePos="0" relativeHeight="251742208" behindDoc="1" locked="0" layoutInCell="1" allowOverlap="1" wp14:anchorId="7D62082E" wp14:editId="485B789D">
          <wp:simplePos x="0" y="0"/>
          <wp:positionH relativeFrom="column">
            <wp:posOffset>-426085</wp:posOffset>
          </wp:positionH>
          <wp:positionV relativeFrom="paragraph">
            <wp:posOffset>-19050</wp:posOffset>
          </wp:positionV>
          <wp:extent cx="1531620" cy="450850"/>
          <wp:effectExtent l="0" t="0" r="0" b="635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D45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7B12A51D">
              <wp:simplePos x="0" y="0"/>
              <wp:positionH relativeFrom="column">
                <wp:posOffset>3953510</wp:posOffset>
              </wp:positionH>
              <wp:positionV relativeFrom="paragraph">
                <wp:posOffset>630555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3pt;margin-top:49.65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08610412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0537">
    <w:abstractNumId w:val="0"/>
  </w:num>
  <w:num w:numId="2" w16cid:durableId="989407711">
    <w:abstractNumId w:val="2"/>
  </w:num>
  <w:num w:numId="3" w16cid:durableId="1572159829">
    <w:abstractNumId w:val="3"/>
  </w:num>
  <w:num w:numId="4" w16cid:durableId="42172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13185"/>
    <w:rsid w:val="00017CC1"/>
    <w:rsid w:val="000360D2"/>
    <w:rsid w:val="00045D42"/>
    <w:rsid w:val="00047A9B"/>
    <w:rsid w:val="00050025"/>
    <w:rsid w:val="00053626"/>
    <w:rsid w:val="00085F67"/>
    <w:rsid w:val="0009352C"/>
    <w:rsid w:val="00097733"/>
    <w:rsid w:val="000A071D"/>
    <w:rsid w:val="000A76B8"/>
    <w:rsid w:val="000A7F78"/>
    <w:rsid w:val="000B56B9"/>
    <w:rsid w:val="000B722D"/>
    <w:rsid w:val="000C335C"/>
    <w:rsid w:val="000C5A8A"/>
    <w:rsid w:val="00101BDD"/>
    <w:rsid w:val="001048EC"/>
    <w:rsid w:val="00114F0A"/>
    <w:rsid w:val="0011586D"/>
    <w:rsid w:val="0015354A"/>
    <w:rsid w:val="00157A06"/>
    <w:rsid w:val="00165094"/>
    <w:rsid w:val="0016527C"/>
    <w:rsid w:val="00185B34"/>
    <w:rsid w:val="00185E83"/>
    <w:rsid w:val="0018716C"/>
    <w:rsid w:val="001875FD"/>
    <w:rsid w:val="0019644D"/>
    <w:rsid w:val="00196918"/>
    <w:rsid w:val="001A12C9"/>
    <w:rsid w:val="001A548C"/>
    <w:rsid w:val="001D53FE"/>
    <w:rsid w:val="001E1E80"/>
    <w:rsid w:val="002140BF"/>
    <w:rsid w:val="00214571"/>
    <w:rsid w:val="00217981"/>
    <w:rsid w:val="00227940"/>
    <w:rsid w:val="002364DA"/>
    <w:rsid w:val="00246C40"/>
    <w:rsid w:val="00267FF2"/>
    <w:rsid w:val="00275DF9"/>
    <w:rsid w:val="00276A64"/>
    <w:rsid w:val="002868BE"/>
    <w:rsid w:val="0029003A"/>
    <w:rsid w:val="00290978"/>
    <w:rsid w:val="00291ECE"/>
    <w:rsid w:val="002965BC"/>
    <w:rsid w:val="002A07C0"/>
    <w:rsid w:val="002A1C88"/>
    <w:rsid w:val="002A22A8"/>
    <w:rsid w:val="002A4AE6"/>
    <w:rsid w:val="002B292E"/>
    <w:rsid w:val="002B4EA9"/>
    <w:rsid w:val="002C02D9"/>
    <w:rsid w:val="002D4006"/>
    <w:rsid w:val="002E03AD"/>
    <w:rsid w:val="002E2CAF"/>
    <w:rsid w:val="002F4959"/>
    <w:rsid w:val="00331B20"/>
    <w:rsid w:val="00352F6A"/>
    <w:rsid w:val="00362D7D"/>
    <w:rsid w:val="00362E28"/>
    <w:rsid w:val="003656C6"/>
    <w:rsid w:val="003700D8"/>
    <w:rsid w:val="00370829"/>
    <w:rsid w:val="00372D14"/>
    <w:rsid w:val="00374241"/>
    <w:rsid w:val="003751C2"/>
    <w:rsid w:val="00376C43"/>
    <w:rsid w:val="0038527C"/>
    <w:rsid w:val="003A3A77"/>
    <w:rsid w:val="003B15D0"/>
    <w:rsid w:val="003C456A"/>
    <w:rsid w:val="003C5BCF"/>
    <w:rsid w:val="003D4FAA"/>
    <w:rsid w:val="003E2E97"/>
    <w:rsid w:val="00420468"/>
    <w:rsid w:val="004216F6"/>
    <w:rsid w:val="0042506E"/>
    <w:rsid w:val="00431A19"/>
    <w:rsid w:val="00434B95"/>
    <w:rsid w:val="00434CD8"/>
    <w:rsid w:val="00437261"/>
    <w:rsid w:val="00437D08"/>
    <w:rsid w:val="00445F9D"/>
    <w:rsid w:val="0045231F"/>
    <w:rsid w:val="00452CE8"/>
    <w:rsid w:val="0045774D"/>
    <w:rsid w:val="004648FD"/>
    <w:rsid w:val="00466028"/>
    <w:rsid w:val="004707EF"/>
    <w:rsid w:val="004719F6"/>
    <w:rsid w:val="00497F1C"/>
    <w:rsid w:val="004A6D61"/>
    <w:rsid w:val="004B24A8"/>
    <w:rsid w:val="004C066C"/>
    <w:rsid w:val="004C36F9"/>
    <w:rsid w:val="004D5441"/>
    <w:rsid w:val="004E0E4C"/>
    <w:rsid w:val="004F444E"/>
    <w:rsid w:val="005007E3"/>
    <w:rsid w:val="00505E03"/>
    <w:rsid w:val="00512A3B"/>
    <w:rsid w:val="00535CC5"/>
    <w:rsid w:val="005403B7"/>
    <w:rsid w:val="00547BE0"/>
    <w:rsid w:val="00550AEF"/>
    <w:rsid w:val="00556EC7"/>
    <w:rsid w:val="0056705D"/>
    <w:rsid w:val="00597C0C"/>
    <w:rsid w:val="005A041A"/>
    <w:rsid w:val="005B27D6"/>
    <w:rsid w:val="005D6244"/>
    <w:rsid w:val="005E7988"/>
    <w:rsid w:val="00610CBB"/>
    <w:rsid w:val="00612FD6"/>
    <w:rsid w:val="006232D3"/>
    <w:rsid w:val="00631993"/>
    <w:rsid w:val="00645841"/>
    <w:rsid w:val="00652083"/>
    <w:rsid w:val="006535D2"/>
    <w:rsid w:val="006728F9"/>
    <w:rsid w:val="00695E8A"/>
    <w:rsid w:val="006A1AA4"/>
    <w:rsid w:val="006B1721"/>
    <w:rsid w:val="006C0A08"/>
    <w:rsid w:val="006C4C86"/>
    <w:rsid w:val="006C650A"/>
    <w:rsid w:val="006C6DC8"/>
    <w:rsid w:val="006D5686"/>
    <w:rsid w:val="006D6443"/>
    <w:rsid w:val="006E6E19"/>
    <w:rsid w:val="006F65F2"/>
    <w:rsid w:val="00704FDD"/>
    <w:rsid w:val="0070724C"/>
    <w:rsid w:val="00711359"/>
    <w:rsid w:val="007333D4"/>
    <w:rsid w:val="007362C8"/>
    <w:rsid w:val="00771484"/>
    <w:rsid w:val="007755FE"/>
    <w:rsid w:val="007839A7"/>
    <w:rsid w:val="00786C24"/>
    <w:rsid w:val="00787E72"/>
    <w:rsid w:val="007924BA"/>
    <w:rsid w:val="00792603"/>
    <w:rsid w:val="007B3DB9"/>
    <w:rsid w:val="007C018A"/>
    <w:rsid w:val="007C5F80"/>
    <w:rsid w:val="007D2310"/>
    <w:rsid w:val="007E39C2"/>
    <w:rsid w:val="007F0E7B"/>
    <w:rsid w:val="007F14C8"/>
    <w:rsid w:val="007F74D3"/>
    <w:rsid w:val="008101F7"/>
    <w:rsid w:val="008254CF"/>
    <w:rsid w:val="00841EED"/>
    <w:rsid w:val="00851342"/>
    <w:rsid w:val="008523E1"/>
    <w:rsid w:val="008526E2"/>
    <w:rsid w:val="0086613C"/>
    <w:rsid w:val="00872566"/>
    <w:rsid w:val="008750C0"/>
    <w:rsid w:val="00880795"/>
    <w:rsid w:val="00883686"/>
    <w:rsid w:val="008915B2"/>
    <w:rsid w:val="00892FD5"/>
    <w:rsid w:val="008A1FB3"/>
    <w:rsid w:val="008A230C"/>
    <w:rsid w:val="008A3229"/>
    <w:rsid w:val="008B2408"/>
    <w:rsid w:val="008B3E6B"/>
    <w:rsid w:val="008B7E1B"/>
    <w:rsid w:val="008C2E6D"/>
    <w:rsid w:val="008C38B7"/>
    <w:rsid w:val="008C5DDB"/>
    <w:rsid w:val="008C5FA3"/>
    <w:rsid w:val="008C61A8"/>
    <w:rsid w:val="008D5764"/>
    <w:rsid w:val="008D6E56"/>
    <w:rsid w:val="008E1EA6"/>
    <w:rsid w:val="008F21AE"/>
    <w:rsid w:val="008F4035"/>
    <w:rsid w:val="009014B6"/>
    <w:rsid w:val="009036E5"/>
    <w:rsid w:val="009152DA"/>
    <w:rsid w:val="00934B9C"/>
    <w:rsid w:val="009433E7"/>
    <w:rsid w:val="0095723C"/>
    <w:rsid w:val="00960920"/>
    <w:rsid w:val="009631D6"/>
    <w:rsid w:val="00963A60"/>
    <w:rsid w:val="0097265D"/>
    <w:rsid w:val="009843E7"/>
    <w:rsid w:val="00991313"/>
    <w:rsid w:val="009A11A4"/>
    <w:rsid w:val="009B385B"/>
    <w:rsid w:val="009B6AA5"/>
    <w:rsid w:val="009B6E28"/>
    <w:rsid w:val="009B7371"/>
    <w:rsid w:val="009C47A5"/>
    <w:rsid w:val="009C529A"/>
    <w:rsid w:val="009C61C5"/>
    <w:rsid w:val="009F59AB"/>
    <w:rsid w:val="009F6877"/>
    <w:rsid w:val="00A05EC1"/>
    <w:rsid w:val="00A0793D"/>
    <w:rsid w:val="00A07970"/>
    <w:rsid w:val="00A16321"/>
    <w:rsid w:val="00A173A3"/>
    <w:rsid w:val="00A2189B"/>
    <w:rsid w:val="00A372E0"/>
    <w:rsid w:val="00A504C1"/>
    <w:rsid w:val="00A522D4"/>
    <w:rsid w:val="00A53760"/>
    <w:rsid w:val="00A53D1C"/>
    <w:rsid w:val="00A56D02"/>
    <w:rsid w:val="00A638B6"/>
    <w:rsid w:val="00A70103"/>
    <w:rsid w:val="00A701FD"/>
    <w:rsid w:val="00A75107"/>
    <w:rsid w:val="00A82213"/>
    <w:rsid w:val="00A872AE"/>
    <w:rsid w:val="00A93F39"/>
    <w:rsid w:val="00AA4428"/>
    <w:rsid w:val="00AA508A"/>
    <w:rsid w:val="00AA6C52"/>
    <w:rsid w:val="00AA7A8B"/>
    <w:rsid w:val="00AB7405"/>
    <w:rsid w:val="00AC57B7"/>
    <w:rsid w:val="00AD22F2"/>
    <w:rsid w:val="00AE241D"/>
    <w:rsid w:val="00AF69FC"/>
    <w:rsid w:val="00B06189"/>
    <w:rsid w:val="00B30A8D"/>
    <w:rsid w:val="00B3261B"/>
    <w:rsid w:val="00B366B0"/>
    <w:rsid w:val="00B41DCF"/>
    <w:rsid w:val="00B4497F"/>
    <w:rsid w:val="00B53385"/>
    <w:rsid w:val="00B56B39"/>
    <w:rsid w:val="00B70562"/>
    <w:rsid w:val="00B74AD1"/>
    <w:rsid w:val="00B86FB9"/>
    <w:rsid w:val="00B87294"/>
    <w:rsid w:val="00B91B79"/>
    <w:rsid w:val="00BA1A7E"/>
    <w:rsid w:val="00BA2AE4"/>
    <w:rsid w:val="00BB0180"/>
    <w:rsid w:val="00BD64B9"/>
    <w:rsid w:val="00BE06CC"/>
    <w:rsid w:val="00BE5B0E"/>
    <w:rsid w:val="00BE6694"/>
    <w:rsid w:val="00BE67CC"/>
    <w:rsid w:val="00BF0467"/>
    <w:rsid w:val="00BF428F"/>
    <w:rsid w:val="00C23D2C"/>
    <w:rsid w:val="00C246FA"/>
    <w:rsid w:val="00C25CE5"/>
    <w:rsid w:val="00C30BCD"/>
    <w:rsid w:val="00C3559C"/>
    <w:rsid w:val="00C41D70"/>
    <w:rsid w:val="00C53212"/>
    <w:rsid w:val="00C53A18"/>
    <w:rsid w:val="00C62790"/>
    <w:rsid w:val="00C67096"/>
    <w:rsid w:val="00C702C9"/>
    <w:rsid w:val="00C71B46"/>
    <w:rsid w:val="00C80CB7"/>
    <w:rsid w:val="00C813C0"/>
    <w:rsid w:val="00C90FE6"/>
    <w:rsid w:val="00C93EA8"/>
    <w:rsid w:val="00CB5C2D"/>
    <w:rsid w:val="00CC47D7"/>
    <w:rsid w:val="00CC71D8"/>
    <w:rsid w:val="00CD7E8A"/>
    <w:rsid w:val="00CE1344"/>
    <w:rsid w:val="00CE7B88"/>
    <w:rsid w:val="00D1315A"/>
    <w:rsid w:val="00D13EBB"/>
    <w:rsid w:val="00D142CB"/>
    <w:rsid w:val="00D15235"/>
    <w:rsid w:val="00D2233E"/>
    <w:rsid w:val="00D2506B"/>
    <w:rsid w:val="00D26385"/>
    <w:rsid w:val="00D42416"/>
    <w:rsid w:val="00D528A9"/>
    <w:rsid w:val="00D5457C"/>
    <w:rsid w:val="00D64427"/>
    <w:rsid w:val="00D734F1"/>
    <w:rsid w:val="00D76FE4"/>
    <w:rsid w:val="00D86B07"/>
    <w:rsid w:val="00D93979"/>
    <w:rsid w:val="00DA00BA"/>
    <w:rsid w:val="00DA154E"/>
    <w:rsid w:val="00DC127B"/>
    <w:rsid w:val="00DC269D"/>
    <w:rsid w:val="00DC3B2A"/>
    <w:rsid w:val="00DD0A4A"/>
    <w:rsid w:val="00DD6665"/>
    <w:rsid w:val="00DE2BFF"/>
    <w:rsid w:val="00DE5B1E"/>
    <w:rsid w:val="00E1065F"/>
    <w:rsid w:val="00E160EF"/>
    <w:rsid w:val="00E346B1"/>
    <w:rsid w:val="00E5191A"/>
    <w:rsid w:val="00E61E97"/>
    <w:rsid w:val="00E76989"/>
    <w:rsid w:val="00E8292F"/>
    <w:rsid w:val="00E8319A"/>
    <w:rsid w:val="00E90DD1"/>
    <w:rsid w:val="00E943BD"/>
    <w:rsid w:val="00EA3A22"/>
    <w:rsid w:val="00EA54A9"/>
    <w:rsid w:val="00EB3DBD"/>
    <w:rsid w:val="00EB5A48"/>
    <w:rsid w:val="00EC4D45"/>
    <w:rsid w:val="00F0128A"/>
    <w:rsid w:val="00F117DA"/>
    <w:rsid w:val="00F15381"/>
    <w:rsid w:val="00F208A1"/>
    <w:rsid w:val="00F27211"/>
    <w:rsid w:val="00F32921"/>
    <w:rsid w:val="00F422F7"/>
    <w:rsid w:val="00F67F46"/>
    <w:rsid w:val="00F717C5"/>
    <w:rsid w:val="00F750AB"/>
    <w:rsid w:val="00F753F3"/>
    <w:rsid w:val="00F841B1"/>
    <w:rsid w:val="00F84FFC"/>
    <w:rsid w:val="00F858FB"/>
    <w:rsid w:val="00FA06EF"/>
    <w:rsid w:val="00FB1045"/>
    <w:rsid w:val="00FB648B"/>
    <w:rsid w:val="00FD15DC"/>
    <w:rsid w:val="00FD2918"/>
    <w:rsid w:val="00FE041F"/>
    <w:rsid w:val="00FE306F"/>
    <w:rsid w:val="00FF1457"/>
    <w:rsid w:val="00FF316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EC4D45"/>
    <w:pPr>
      <w:suppressAutoHyphens/>
      <w:spacing w:after="160" w:line="259" w:lineRule="auto"/>
    </w:pPr>
    <w:rPr>
      <w:rFonts w:ascii="Cambria" w:eastAsia="SimSun" w:hAnsi="Cambria"/>
    </w:rPr>
  </w:style>
  <w:style w:type="paragraph" w:customStyle="1" w:styleId="Default">
    <w:name w:val="Default"/>
    <w:rsid w:val="004E0E4C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BB0F5-9FA7-44E9-A58C-D3F0DBB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Javier D. Bazaga</cp:lastModifiedBy>
  <cp:revision>17</cp:revision>
  <cp:lastPrinted>2016-03-31T15:45:00Z</cp:lastPrinted>
  <dcterms:created xsi:type="dcterms:W3CDTF">2024-06-26T10:38:00Z</dcterms:created>
  <dcterms:modified xsi:type="dcterms:W3CDTF">2024-07-12T08:53:00Z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2024-07-02T16:23:07Z</vt:lpwstr>
  </property>
  <property fmtid="{D5CDD505-2E9C-101B-9397-08002B2CF9AE}" pid="5" name="MSIP_Label_c2c11c9e-624c-4a75-9f78-0989052ff6ea_Method">
    <vt:lpwstr>Privileged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1bedde96-4683-43f4-bb45-e38abfaf0420</vt:lpwstr>
  </property>
  <property fmtid="{D5CDD505-2E9C-101B-9397-08002B2CF9AE}" pid="9" name="MSIP_Label_c2c11c9e-624c-4a75-9f78-0989052ff6ea_ContentBits">
    <vt:lpwstr>0</vt:lpwstr>
  </property>
</Properties>
</file>