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9C29" w14:textId="77777777" w:rsidR="00075657" w:rsidRDefault="00075657" w:rsidP="00A05282">
      <w:pPr>
        <w:spacing w:line="240" w:lineRule="auto"/>
        <w:ind w:left="-426" w:right="-568"/>
        <w:jc w:val="both"/>
        <w:rPr>
          <w:rFonts w:ascii="Arial" w:hAnsi="Arial" w:cs="Arial"/>
          <w:b/>
          <w:bCs/>
          <w:i/>
          <w:iCs/>
          <w:color w:val="009FEA"/>
          <w:sz w:val="32"/>
          <w:szCs w:val="32"/>
        </w:rPr>
      </w:pPr>
    </w:p>
    <w:p w14:paraId="01B9C474" w14:textId="3C79160A" w:rsidR="00A05282" w:rsidRPr="002F01A1" w:rsidRDefault="00A05282" w:rsidP="00A05282">
      <w:pPr>
        <w:spacing w:line="240" w:lineRule="auto"/>
        <w:ind w:left="-426" w:right="-568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F56910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CaixaBank </w:t>
      </w:r>
      <w:r w:rsidR="009C045E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reúne</w:t>
      </w:r>
      <w:r w:rsidR="003A3753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</w:t>
      </w:r>
      <w:r w:rsidR="003A3753" w:rsidRPr="004516E3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a</w:t>
      </w:r>
      <w:r w:rsidR="00B42E4A" w:rsidRPr="004516E3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50</w:t>
      </w:r>
      <w:r w:rsidR="00691DCB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</w:t>
      </w:r>
      <w:r w:rsidR="00E16C08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empresarios</w:t>
      </w:r>
      <w:r w:rsidR="003A3753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</w:t>
      </w:r>
      <w:r w:rsidR="00691DCB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aragoneses </w:t>
      </w:r>
      <w:r w:rsidR="003A3753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para hablar de </w:t>
      </w:r>
      <w:r w:rsidR="00073C3F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las perspectivas y riesgos financieros de 2024</w:t>
      </w:r>
    </w:p>
    <w:p w14:paraId="6385775B" w14:textId="77777777" w:rsidR="00254982" w:rsidRDefault="00254982" w:rsidP="00254982">
      <w:pPr>
        <w:pStyle w:val="Prrafodelista"/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40F5CF5" w14:textId="50899565" w:rsidR="003A3753" w:rsidRDefault="00073C3F" w:rsidP="009C045E">
      <w:pPr>
        <w:pStyle w:val="Prrafodelista"/>
        <w:numPr>
          <w:ilvl w:val="0"/>
          <w:numId w:val="1"/>
        </w:numPr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En la jornada se han repasado las proyecciones macroeconómicas del arranque del año y se han propuesto ideas para salvaguardar el margen financiero de la actividad empresarial.</w:t>
      </w:r>
    </w:p>
    <w:p w14:paraId="296B842A" w14:textId="4C247FBF" w:rsidR="001E4FCE" w:rsidRPr="00EC4734" w:rsidRDefault="001E4FCE" w:rsidP="00EC4734">
      <w:pPr>
        <w:pStyle w:val="Prrafodelista"/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B155999" w14:textId="7C57B90D" w:rsidR="00221CA2" w:rsidRDefault="00073C3F" w:rsidP="00DF4C96">
      <w:pPr>
        <w:pStyle w:val="Prrafodelista"/>
        <w:numPr>
          <w:ilvl w:val="0"/>
          <w:numId w:val="1"/>
        </w:numPr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Carlos Sánchez Mitelbrum, director de Banca de Empresas de la Dirección Territor</w:t>
      </w:r>
      <w:r w:rsidR="00203AEB">
        <w:rPr>
          <w:rFonts w:ascii="Arial" w:hAnsi="Arial" w:cs="Arial"/>
          <w:b/>
          <w:bCs/>
          <w:i/>
          <w:iCs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z w:val="24"/>
          <w:szCs w:val="24"/>
        </w:rPr>
        <w:t>al Ebro,</w:t>
      </w:r>
      <w:r w:rsidR="00221CA2">
        <w:rPr>
          <w:rFonts w:ascii="Arial" w:hAnsi="Arial" w:cs="Arial"/>
          <w:b/>
          <w:bCs/>
          <w:i/>
          <w:iCs/>
          <w:sz w:val="24"/>
          <w:szCs w:val="24"/>
        </w:rPr>
        <w:t xml:space="preserve"> ha destacado que “</w:t>
      </w:r>
      <w:r w:rsidRPr="00073C3F">
        <w:rPr>
          <w:rFonts w:ascii="Arial" w:hAnsi="Arial" w:cs="Arial"/>
          <w:b/>
          <w:bCs/>
          <w:i/>
          <w:iCs/>
          <w:sz w:val="24"/>
          <w:szCs w:val="24"/>
        </w:rPr>
        <w:t>la gestión de riesgos financieros representa un elemento esencial para la sostenibilidad de la cuenta de resultados y, por ampliación, para la supervivencia de la empresa</w:t>
      </w:r>
      <w:r w:rsidR="00221CA2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7D1B48C6" w14:textId="77777777" w:rsidR="00221CA2" w:rsidRPr="00E16C08" w:rsidRDefault="00221CA2" w:rsidP="00E16C08">
      <w:pPr>
        <w:pStyle w:val="Prrafodelista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343A2AE" w14:textId="473217FE" w:rsidR="00DF4C96" w:rsidRPr="00560213" w:rsidRDefault="00691DCB" w:rsidP="00DF4C96">
      <w:pPr>
        <w:pStyle w:val="Prrafodelista"/>
        <w:numPr>
          <w:ilvl w:val="0"/>
          <w:numId w:val="1"/>
        </w:numPr>
        <w:spacing w:line="276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La</w:t>
      </w:r>
      <w:r w:rsidR="00440610">
        <w:rPr>
          <w:rFonts w:ascii="Arial" w:hAnsi="Arial" w:cs="Arial"/>
          <w:b/>
          <w:bCs/>
          <w:i/>
          <w:iCs/>
          <w:sz w:val="24"/>
          <w:szCs w:val="24"/>
        </w:rPr>
        <w:t xml:space="preserve"> economista de CaixaBank Research </w:t>
      </w:r>
      <w:r>
        <w:rPr>
          <w:rFonts w:ascii="Arial" w:hAnsi="Arial" w:cs="Arial"/>
          <w:b/>
          <w:bCs/>
          <w:i/>
          <w:iCs/>
          <w:sz w:val="24"/>
          <w:szCs w:val="24"/>
        </w:rPr>
        <w:t>Rita Sánchez</w:t>
      </w:r>
      <w:r w:rsidR="00073C3F">
        <w:rPr>
          <w:rFonts w:ascii="Arial" w:hAnsi="Arial" w:cs="Arial"/>
          <w:b/>
          <w:bCs/>
          <w:i/>
          <w:iCs/>
          <w:sz w:val="24"/>
          <w:szCs w:val="24"/>
        </w:rPr>
        <w:t xml:space="preserve"> y </w:t>
      </w:r>
      <w:r w:rsidR="000707A0" w:rsidRPr="00F849EB"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="00033AC0"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="00BA311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73C3F" w:rsidRPr="00F849EB">
        <w:rPr>
          <w:rFonts w:ascii="Arial" w:hAnsi="Arial" w:cs="Arial"/>
          <w:b/>
          <w:bCs/>
          <w:i/>
          <w:iCs/>
          <w:sz w:val="24"/>
          <w:szCs w:val="24"/>
        </w:rPr>
        <w:t>gerente</w:t>
      </w:r>
      <w:r w:rsidR="00073C3F" w:rsidRPr="00073C3F">
        <w:rPr>
          <w:rFonts w:ascii="Arial" w:hAnsi="Arial" w:cs="Arial"/>
          <w:b/>
          <w:bCs/>
          <w:i/>
          <w:iCs/>
          <w:sz w:val="24"/>
          <w:szCs w:val="24"/>
        </w:rPr>
        <w:t xml:space="preserve"> coordinador </w:t>
      </w:r>
      <w:r w:rsidR="00073C3F">
        <w:rPr>
          <w:rFonts w:ascii="Arial" w:hAnsi="Arial" w:cs="Arial"/>
          <w:b/>
          <w:bCs/>
          <w:i/>
          <w:iCs/>
          <w:sz w:val="24"/>
          <w:szCs w:val="24"/>
        </w:rPr>
        <w:t xml:space="preserve">del </w:t>
      </w:r>
      <w:r w:rsidR="00073C3F" w:rsidRPr="00073C3F">
        <w:rPr>
          <w:rFonts w:ascii="Arial" w:hAnsi="Arial" w:cs="Arial"/>
          <w:b/>
          <w:bCs/>
          <w:i/>
          <w:iCs/>
          <w:sz w:val="24"/>
          <w:szCs w:val="24"/>
        </w:rPr>
        <w:t>Equipo de Tesorería de Banca de Empresas</w:t>
      </w:r>
      <w:r w:rsidR="00440610">
        <w:rPr>
          <w:rFonts w:ascii="Arial" w:hAnsi="Arial" w:cs="Arial"/>
          <w:b/>
          <w:bCs/>
          <w:i/>
          <w:iCs/>
          <w:sz w:val="24"/>
          <w:szCs w:val="24"/>
        </w:rPr>
        <w:t xml:space="preserve"> de CaixaBank</w:t>
      </w:r>
      <w:r w:rsidR="00073C3F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0707A0">
        <w:rPr>
          <w:rFonts w:ascii="Arial" w:hAnsi="Arial" w:cs="Arial"/>
          <w:b/>
          <w:bCs/>
          <w:i/>
          <w:iCs/>
          <w:sz w:val="24"/>
          <w:szCs w:val="24"/>
        </w:rPr>
        <w:t xml:space="preserve">Álvaro Palomares, </w:t>
      </w:r>
      <w:r w:rsidR="00073C3F">
        <w:rPr>
          <w:rFonts w:ascii="Arial" w:hAnsi="Arial" w:cs="Arial"/>
          <w:b/>
          <w:bCs/>
          <w:i/>
          <w:iCs/>
          <w:sz w:val="24"/>
          <w:szCs w:val="24"/>
        </w:rPr>
        <w:t xml:space="preserve">han abordado </w:t>
      </w:r>
      <w:r w:rsidR="00073C3F" w:rsidRPr="00073C3F">
        <w:rPr>
          <w:rFonts w:ascii="Arial" w:hAnsi="Arial" w:cs="Arial"/>
          <w:b/>
          <w:bCs/>
          <w:i/>
          <w:iCs/>
          <w:sz w:val="24"/>
          <w:szCs w:val="24"/>
        </w:rPr>
        <w:t>la situación actual de los mercados financieros con especial foco en los tipos de interés, los tipos de cambio y el precio de las materias primas</w:t>
      </w:r>
      <w:r w:rsidR="00073C3F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151EDF95" w14:textId="77777777" w:rsidR="00DF4C96" w:rsidRPr="00DF4C96" w:rsidRDefault="00DF4C96" w:rsidP="00DF4C96">
      <w:pPr>
        <w:spacing w:line="276" w:lineRule="auto"/>
        <w:ind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D4F2382" w14:textId="1BC42119" w:rsidR="001E4FCE" w:rsidRPr="00A05282" w:rsidRDefault="00691DCB" w:rsidP="00A05282">
      <w:pPr>
        <w:spacing w:line="240" w:lineRule="auto"/>
        <w:ind w:left="-426" w:right="-5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Zaragoza</w:t>
      </w:r>
      <w:r w:rsidR="00254982" w:rsidRPr="00F56910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17 </w:t>
      </w:r>
      <w:r w:rsidR="0023523E" w:rsidRPr="00F56910">
        <w:rPr>
          <w:rFonts w:ascii="Arial" w:hAnsi="Arial" w:cs="Arial"/>
          <w:b/>
          <w:bCs/>
        </w:rPr>
        <w:t xml:space="preserve">de </w:t>
      </w:r>
      <w:r w:rsidR="00DF4C96">
        <w:rPr>
          <w:rFonts w:ascii="Arial" w:hAnsi="Arial" w:cs="Arial"/>
          <w:b/>
          <w:bCs/>
        </w:rPr>
        <w:t>abril</w:t>
      </w:r>
      <w:r w:rsidR="002072E3" w:rsidRPr="00F56910">
        <w:rPr>
          <w:rFonts w:ascii="Arial" w:hAnsi="Arial" w:cs="Arial"/>
          <w:b/>
          <w:bCs/>
        </w:rPr>
        <w:t xml:space="preserve"> </w:t>
      </w:r>
      <w:r w:rsidR="0023523E" w:rsidRPr="00F56910">
        <w:rPr>
          <w:rFonts w:ascii="Arial" w:hAnsi="Arial" w:cs="Arial"/>
          <w:b/>
          <w:bCs/>
        </w:rPr>
        <w:t>de 202</w:t>
      </w:r>
      <w:r w:rsidR="002072E3">
        <w:rPr>
          <w:rFonts w:ascii="Arial" w:hAnsi="Arial" w:cs="Arial"/>
          <w:b/>
          <w:bCs/>
        </w:rPr>
        <w:t>4</w:t>
      </w:r>
    </w:p>
    <w:p w14:paraId="36E2770F" w14:textId="6C359F29" w:rsidR="005D5408" w:rsidRDefault="007B2D4A" w:rsidP="009175C9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7B2D4A">
        <w:rPr>
          <w:rFonts w:ascii="Arial" w:hAnsi="Arial" w:cs="Arial"/>
        </w:rPr>
        <w:t xml:space="preserve">CaixaBank, </w:t>
      </w:r>
      <w:r w:rsidR="009C045E" w:rsidRPr="00627488">
        <w:rPr>
          <w:rStyle w:val="normaltextrun"/>
          <w:rFonts w:ascii="Arial" w:hAnsi="Arial" w:cs="Arial"/>
        </w:rPr>
        <w:t xml:space="preserve">a través de su servicio especializado para </w:t>
      </w:r>
      <w:r w:rsidR="004516E3" w:rsidRPr="00627488">
        <w:rPr>
          <w:rStyle w:val="normaltextrun"/>
          <w:rFonts w:ascii="Arial" w:hAnsi="Arial" w:cs="Arial"/>
        </w:rPr>
        <w:t xml:space="preserve">empresas, </w:t>
      </w:r>
      <w:r w:rsidR="004516E3">
        <w:rPr>
          <w:rStyle w:val="normaltextrun"/>
          <w:rFonts w:ascii="Arial" w:hAnsi="Arial" w:cs="Arial"/>
        </w:rPr>
        <w:t>Comercio</w:t>
      </w:r>
      <w:r w:rsidR="005E1532">
        <w:rPr>
          <w:rStyle w:val="normaltextrun"/>
          <w:rFonts w:ascii="Arial" w:hAnsi="Arial" w:cs="Arial"/>
        </w:rPr>
        <w:t xml:space="preserve"> Exterior y Tesorería</w:t>
      </w:r>
      <w:r w:rsidRPr="007B2D4A">
        <w:rPr>
          <w:rFonts w:ascii="Arial" w:hAnsi="Arial" w:cs="Arial"/>
        </w:rPr>
        <w:t xml:space="preserve">, ha celebrado </w:t>
      </w:r>
      <w:r w:rsidR="009C045E">
        <w:rPr>
          <w:rFonts w:ascii="Arial" w:hAnsi="Arial" w:cs="Arial"/>
        </w:rPr>
        <w:t xml:space="preserve">este </w:t>
      </w:r>
      <w:r w:rsidR="00073C3F">
        <w:rPr>
          <w:rFonts w:ascii="Arial" w:hAnsi="Arial" w:cs="Arial"/>
        </w:rPr>
        <w:t>miércoles</w:t>
      </w:r>
      <w:r w:rsidRPr="007B2D4A">
        <w:rPr>
          <w:rFonts w:ascii="Arial" w:hAnsi="Arial" w:cs="Arial"/>
        </w:rPr>
        <w:t xml:space="preserve"> </w:t>
      </w:r>
      <w:r w:rsidR="009F39BB">
        <w:rPr>
          <w:rFonts w:ascii="Arial" w:hAnsi="Arial" w:cs="Arial"/>
        </w:rPr>
        <w:t>un</w:t>
      </w:r>
      <w:r w:rsidR="009C045E">
        <w:rPr>
          <w:rFonts w:ascii="Arial" w:hAnsi="Arial" w:cs="Arial"/>
        </w:rPr>
        <w:t>a jornada</w:t>
      </w:r>
      <w:r w:rsidR="00722F87">
        <w:rPr>
          <w:rFonts w:ascii="Arial" w:hAnsi="Arial" w:cs="Arial"/>
        </w:rPr>
        <w:t xml:space="preserve"> </w:t>
      </w:r>
      <w:r w:rsidR="00073C3F">
        <w:rPr>
          <w:rFonts w:ascii="Arial" w:hAnsi="Arial" w:cs="Arial"/>
        </w:rPr>
        <w:t>en la que han participado</w:t>
      </w:r>
      <w:r w:rsidR="00B42E4A">
        <w:rPr>
          <w:rFonts w:ascii="Arial" w:hAnsi="Arial" w:cs="Arial"/>
        </w:rPr>
        <w:t xml:space="preserve"> más</w:t>
      </w:r>
      <w:r w:rsidR="00073C3F">
        <w:rPr>
          <w:rFonts w:ascii="Arial" w:hAnsi="Arial" w:cs="Arial"/>
        </w:rPr>
        <w:t xml:space="preserve"> </w:t>
      </w:r>
      <w:r w:rsidR="00B42E4A" w:rsidRPr="004516E3">
        <w:rPr>
          <w:rFonts w:ascii="Arial" w:hAnsi="Arial" w:cs="Arial"/>
        </w:rPr>
        <w:t xml:space="preserve">50 </w:t>
      </w:r>
      <w:r w:rsidR="00073C3F" w:rsidRPr="004516E3">
        <w:rPr>
          <w:rFonts w:ascii="Arial" w:hAnsi="Arial" w:cs="Arial"/>
        </w:rPr>
        <w:t>empresarios</w:t>
      </w:r>
      <w:r w:rsidR="00073C3F">
        <w:rPr>
          <w:rFonts w:ascii="Arial" w:hAnsi="Arial" w:cs="Arial"/>
        </w:rPr>
        <w:t xml:space="preserve"> </w:t>
      </w:r>
      <w:r w:rsidR="00691DCB">
        <w:rPr>
          <w:rFonts w:ascii="Arial" w:hAnsi="Arial" w:cs="Arial"/>
        </w:rPr>
        <w:t xml:space="preserve">aragoneses </w:t>
      </w:r>
      <w:r w:rsidR="00073C3F">
        <w:rPr>
          <w:rFonts w:ascii="Arial" w:hAnsi="Arial" w:cs="Arial"/>
        </w:rPr>
        <w:t>y en la que se han expuesto las perspectivas económicas y los riesgos financieros que se plantean en este año 2024.</w:t>
      </w:r>
    </w:p>
    <w:p w14:paraId="77AD8428" w14:textId="52CAC4EC" w:rsidR="00073C3F" w:rsidRDefault="00073C3F" w:rsidP="009175C9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073C3F">
        <w:rPr>
          <w:rFonts w:ascii="Arial" w:hAnsi="Arial" w:cs="Arial"/>
        </w:rPr>
        <w:t>Carlos Sánchez Mitelbrum, director de Banca de Empresas de la Dirección T</w:t>
      </w:r>
      <w:r>
        <w:rPr>
          <w:rFonts w:ascii="Arial" w:hAnsi="Arial" w:cs="Arial"/>
        </w:rPr>
        <w:t xml:space="preserve">erritorial Ebro, ha sido el encargado de presentar una sesión </w:t>
      </w:r>
      <w:r w:rsidRPr="00073C3F">
        <w:rPr>
          <w:rFonts w:ascii="Arial" w:hAnsi="Arial" w:cs="Arial"/>
        </w:rPr>
        <w:t xml:space="preserve">especializada en la que </w:t>
      </w:r>
      <w:r>
        <w:rPr>
          <w:rFonts w:ascii="Arial" w:hAnsi="Arial" w:cs="Arial"/>
        </w:rPr>
        <w:t>se han repasado</w:t>
      </w:r>
      <w:r w:rsidRPr="00073C3F">
        <w:rPr>
          <w:rFonts w:ascii="Arial" w:hAnsi="Arial" w:cs="Arial"/>
        </w:rPr>
        <w:t xml:space="preserve"> las proyecciones macroeconómicas </w:t>
      </w:r>
      <w:r>
        <w:rPr>
          <w:rFonts w:ascii="Arial" w:hAnsi="Arial" w:cs="Arial"/>
        </w:rPr>
        <w:t>previstas para</w:t>
      </w:r>
      <w:r w:rsidRPr="00073C3F">
        <w:rPr>
          <w:rFonts w:ascii="Arial" w:hAnsi="Arial" w:cs="Arial"/>
        </w:rPr>
        <w:t xml:space="preserve"> los próximos meses y los catalizadores identificado</w:t>
      </w:r>
      <w:r w:rsidR="002704FE">
        <w:rPr>
          <w:rFonts w:ascii="Arial" w:hAnsi="Arial" w:cs="Arial"/>
        </w:rPr>
        <w:t>s</w:t>
      </w:r>
      <w:r w:rsidRPr="00073C3F">
        <w:rPr>
          <w:rFonts w:ascii="Arial" w:hAnsi="Arial" w:cs="Arial"/>
        </w:rPr>
        <w:t xml:space="preserve"> en este arranque de año</w:t>
      </w:r>
      <w:r w:rsidR="002704FE">
        <w:rPr>
          <w:rFonts w:ascii="Arial" w:hAnsi="Arial" w:cs="Arial"/>
        </w:rPr>
        <w:t xml:space="preserve">. Sánchez Mitelbrum </w:t>
      </w:r>
      <w:r>
        <w:rPr>
          <w:rFonts w:ascii="Arial" w:hAnsi="Arial" w:cs="Arial"/>
        </w:rPr>
        <w:t xml:space="preserve">ha destacado que </w:t>
      </w:r>
      <w:r w:rsidR="002704FE">
        <w:rPr>
          <w:rFonts w:ascii="Arial" w:hAnsi="Arial" w:cs="Arial"/>
        </w:rPr>
        <w:t>“</w:t>
      </w:r>
      <w:r w:rsidRPr="00073C3F">
        <w:rPr>
          <w:rFonts w:ascii="Arial" w:hAnsi="Arial" w:cs="Arial"/>
        </w:rPr>
        <w:t>la gestión de riesgos financieros representa un elemento esencial para la sostenibilidad de la cuenta de resultados y, por ampliación, para la supervivencia de la empresa</w:t>
      </w:r>
      <w:r w:rsidR="002704FE">
        <w:rPr>
          <w:rFonts w:ascii="Arial" w:hAnsi="Arial" w:cs="Arial"/>
        </w:rPr>
        <w:t>”.</w:t>
      </w:r>
    </w:p>
    <w:p w14:paraId="29E0DF5B" w14:textId="4F7C8DD6" w:rsidR="002704FE" w:rsidRDefault="009C55AD" w:rsidP="009175C9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la jornada, en la que han participado </w:t>
      </w:r>
      <w:r w:rsidR="00440610">
        <w:rPr>
          <w:rFonts w:ascii="Arial" w:hAnsi="Arial" w:cs="Arial"/>
        </w:rPr>
        <w:t>l</w:t>
      </w:r>
      <w:r w:rsidR="00691DCB">
        <w:rPr>
          <w:rFonts w:ascii="Arial" w:hAnsi="Arial" w:cs="Arial"/>
        </w:rPr>
        <w:t>a</w:t>
      </w:r>
      <w:r w:rsidR="00440610">
        <w:rPr>
          <w:rFonts w:ascii="Arial" w:hAnsi="Arial" w:cs="Arial"/>
        </w:rPr>
        <w:t xml:space="preserve"> economista de CaixaBank Research </w:t>
      </w:r>
      <w:r>
        <w:rPr>
          <w:rFonts w:ascii="Arial" w:hAnsi="Arial" w:cs="Arial"/>
        </w:rPr>
        <w:t>Ri</w:t>
      </w:r>
      <w:r w:rsidR="00691DCB">
        <w:rPr>
          <w:rFonts w:ascii="Arial" w:hAnsi="Arial" w:cs="Arial"/>
        </w:rPr>
        <w:t>ta Sánchez</w:t>
      </w:r>
      <w:r w:rsidR="00B42E4A">
        <w:rPr>
          <w:rFonts w:ascii="Arial" w:hAnsi="Arial" w:cs="Arial"/>
        </w:rPr>
        <w:t xml:space="preserve"> </w:t>
      </w:r>
      <w:r w:rsidRPr="00F849EB">
        <w:rPr>
          <w:rFonts w:ascii="Arial" w:hAnsi="Arial" w:cs="Arial"/>
        </w:rPr>
        <w:t>y</w:t>
      </w:r>
      <w:r w:rsidR="00BA311D" w:rsidRPr="00F849EB">
        <w:rPr>
          <w:rFonts w:ascii="Arial" w:hAnsi="Arial" w:cs="Arial"/>
        </w:rPr>
        <w:t xml:space="preserve"> </w:t>
      </w:r>
      <w:r w:rsidR="000707A0" w:rsidRPr="00F849EB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gerente coordinador del Equipo de Tesorería de Banca de Empresas</w:t>
      </w:r>
      <w:r w:rsidR="00440610">
        <w:rPr>
          <w:rFonts w:ascii="Arial" w:hAnsi="Arial" w:cs="Arial"/>
        </w:rPr>
        <w:t xml:space="preserve"> de CaixaBank</w:t>
      </w:r>
      <w:r>
        <w:rPr>
          <w:rFonts w:ascii="Arial" w:hAnsi="Arial" w:cs="Arial"/>
        </w:rPr>
        <w:t xml:space="preserve">, </w:t>
      </w:r>
      <w:r w:rsidR="000707A0">
        <w:rPr>
          <w:rFonts w:ascii="Arial" w:hAnsi="Arial" w:cs="Arial"/>
        </w:rPr>
        <w:t xml:space="preserve">Álvaro Palomares, </w:t>
      </w:r>
      <w:r>
        <w:rPr>
          <w:rFonts w:ascii="Arial" w:hAnsi="Arial" w:cs="Arial"/>
        </w:rPr>
        <w:t>se ha abordado</w:t>
      </w:r>
      <w:r w:rsidRPr="009C55AD">
        <w:rPr>
          <w:rFonts w:ascii="Arial" w:hAnsi="Arial" w:cs="Arial"/>
        </w:rPr>
        <w:t xml:space="preserve"> la situación actual de los mercados financieros con especial foco en los tipos de interés, los tipos de cambio </w:t>
      </w:r>
      <w:r>
        <w:rPr>
          <w:rFonts w:ascii="Arial" w:hAnsi="Arial" w:cs="Arial"/>
        </w:rPr>
        <w:t>o</w:t>
      </w:r>
      <w:r w:rsidRPr="009C55AD">
        <w:rPr>
          <w:rFonts w:ascii="Arial" w:hAnsi="Arial" w:cs="Arial"/>
        </w:rPr>
        <w:t xml:space="preserve"> el precio de las materias primas y la forma en la que Caixa</w:t>
      </w:r>
      <w:r>
        <w:rPr>
          <w:rFonts w:ascii="Arial" w:hAnsi="Arial" w:cs="Arial"/>
        </w:rPr>
        <w:t>B</w:t>
      </w:r>
      <w:r w:rsidRPr="009C55AD">
        <w:rPr>
          <w:rFonts w:ascii="Arial" w:hAnsi="Arial" w:cs="Arial"/>
        </w:rPr>
        <w:t xml:space="preserve">ank </w:t>
      </w:r>
      <w:r>
        <w:rPr>
          <w:rFonts w:ascii="Arial" w:hAnsi="Arial" w:cs="Arial"/>
        </w:rPr>
        <w:t>ayuda a sus</w:t>
      </w:r>
      <w:r w:rsidRPr="009C55AD">
        <w:rPr>
          <w:rFonts w:ascii="Arial" w:hAnsi="Arial" w:cs="Arial"/>
        </w:rPr>
        <w:t xml:space="preserve"> clientes de Banca de Empresas en la gestión efectiva de dichos riesgos.</w:t>
      </w:r>
    </w:p>
    <w:p w14:paraId="31427E8E" w14:textId="77777777" w:rsidR="000707A0" w:rsidRDefault="009C55AD" w:rsidP="000707A0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Ri</w:t>
      </w:r>
      <w:r w:rsidR="00691DCB">
        <w:rPr>
          <w:rFonts w:ascii="Arial" w:hAnsi="Arial" w:cs="Arial"/>
        </w:rPr>
        <w:t>ta Sánchez</w:t>
      </w:r>
      <w:r w:rsidRPr="00691DCB">
        <w:rPr>
          <w:rStyle w:val="normaltextrun"/>
          <w:rFonts w:eastAsia="Times New Roman"/>
          <w:lang w:eastAsia="es-ES"/>
        </w:rPr>
        <w:t xml:space="preserve">, </w:t>
      </w:r>
      <w:r w:rsidR="00691DCB" w:rsidRPr="00691DCB">
        <w:rPr>
          <w:rStyle w:val="normaltextrun"/>
          <w:rFonts w:ascii="Arial" w:eastAsia="Times New Roman" w:hAnsi="Arial" w:cs="Arial"/>
          <w:lang w:eastAsia="es-ES"/>
        </w:rPr>
        <w:t>economista en el Departamento de Economías y Mercados Internacionales</w:t>
      </w:r>
      <w:r w:rsidR="000707A0">
        <w:rPr>
          <w:rStyle w:val="normaltextrun"/>
          <w:rFonts w:ascii="Arial" w:eastAsia="Times New Roman" w:hAnsi="Arial" w:cs="Arial"/>
          <w:lang w:eastAsia="es-ES"/>
        </w:rPr>
        <w:t xml:space="preserve"> de CaixaBank Research, </w:t>
      </w:r>
      <w:r w:rsidR="000707A0" w:rsidRPr="00154707">
        <w:rPr>
          <w:rFonts w:ascii="Arial" w:hAnsi="Arial" w:cs="Arial"/>
          <w:shd w:val="clear" w:color="auto" w:fill="FFFFFF" w:themeFill="background1"/>
        </w:rPr>
        <w:t>ha repasado la situación macroeconómica general con especial detalle en el impacto que la misma puede acarrear al desempeño empresarial.</w:t>
      </w:r>
      <w:r w:rsidR="000707A0">
        <w:rPr>
          <w:rFonts w:ascii="Arial" w:hAnsi="Arial" w:cs="Arial"/>
        </w:rPr>
        <w:t xml:space="preserve"> </w:t>
      </w:r>
    </w:p>
    <w:p w14:paraId="0D9F3435" w14:textId="7642BBA7" w:rsidR="009C55AD" w:rsidRDefault="009C55AD" w:rsidP="009175C9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Álvaro Palomares</w:t>
      </w:r>
      <w:r w:rsidR="002C3751">
        <w:rPr>
          <w:rFonts w:ascii="Arial" w:hAnsi="Arial" w:cs="Arial"/>
        </w:rPr>
        <w:t xml:space="preserve">, </w:t>
      </w:r>
      <w:r w:rsidR="00440610">
        <w:rPr>
          <w:rFonts w:ascii="Arial" w:hAnsi="Arial" w:cs="Arial"/>
        </w:rPr>
        <w:t>l</w:t>
      </w:r>
      <w:r w:rsidR="002C3751" w:rsidRPr="002C3751">
        <w:rPr>
          <w:rFonts w:ascii="Arial" w:hAnsi="Arial" w:cs="Arial"/>
        </w:rPr>
        <w:t xml:space="preserve">icenciado en Administración y Dirección de Empresas por la Universidad Complutense de Madrid, </w:t>
      </w:r>
      <w:r w:rsidR="002C3751">
        <w:rPr>
          <w:rFonts w:ascii="Arial" w:hAnsi="Arial" w:cs="Arial"/>
        </w:rPr>
        <w:t xml:space="preserve">y </w:t>
      </w:r>
      <w:r w:rsidR="002C3751" w:rsidRPr="002C3751">
        <w:rPr>
          <w:rFonts w:ascii="Arial" w:hAnsi="Arial" w:cs="Arial"/>
        </w:rPr>
        <w:t>Master en Corporate Finance y Banca de Inversiones</w:t>
      </w:r>
      <w:r w:rsidR="002C3751">
        <w:rPr>
          <w:rFonts w:ascii="Arial" w:hAnsi="Arial" w:cs="Arial"/>
        </w:rPr>
        <w:t xml:space="preserve">, así como </w:t>
      </w:r>
      <w:r w:rsidR="002C3751" w:rsidRPr="002C3751">
        <w:rPr>
          <w:rFonts w:ascii="Arial" w:hAnsi="Arial" w:cs="Arial"/>
        </w:rPr>
        <w:t>en Gestión de</w:t>
      </w:r>
      <w:r w:rsidR="002C3751">
        <w:rPr>
          <w:rFonts w:ascii="Arial" w:hAnsi="Arial" w:cs="Arial"/>
        </w:rPr>
        <w:t xml:space="preserve"> </w:t>
      </w:r>
      <w:r w:rsidR="002C3751" w:rsidRPr="002C3751">
        <w:rPr>
          <w:rFonts w:ascii="Arial" w:hAnsi="Arial" w:cs="Arial"/>
        </w:rPr>
        <w:t>Carteras y en Dirección Financiera</w:t>
      </w:r>
      <w:r w:rsidR="002C37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ha </w:t>
      </w:r>
      <w:r w:rsidRPr="009C55AD">
        <w:rPr>
          <w:rFonts w:ascii="Arial" w:hAnsi="Arial" w:cs="Arial"/>
        </w:rPr>
        <w:t>profundiza</w:t>
      </w:r>
      <w:r>
        <w:rPr>
          <w:rFonts w:ascii="Arial" w:hAnsi="Arial" w:cs="Arial"/>
        </w:rPr>
        <w:t>do</w:t>
      </w:r>
      <w:r w:rsidRPr="009C55AD">
        <w:rPr>
          <w:rFonts w:ascii="Arial" w:hAnsi="Arial" w:cs="Arial"/>
        </w:rPr>
        <w:t xml:space="preserve"> en la situación actual de los tipos de interés, los tipos de cambio y el precio de las </w:t>
      </w:r>
      <w:r>
        <w:rPr>
          <w:rFonts w:ascii="Arial" w:hAnsi="Arial" w:cs="Arial"/>
        </w:rPr>
        <w:t>materias primas,</w:t>
      </w:r>
      <w:r w:rsidRPr="009C55AD">
        <w:rPr>
          <w:rFonts w:ascii="Arial" w:hAnsi="Arial" w:cs="Arial"/>
        </w:rPr>
        <w:t xml:space="preserve"> y de una forma eminentemente práctica</w:t>
      </w:r>
      <w:r>
        <w:rPr>
          <w:rFonts w:ascii="Arial" w:hAnsi="Arial" w:cs="Arial"/>
        </w:rPr>
        <w:t>,</w:t>
      </w:r>
      <w:r w:rsidRPr="009C55AD">
        <w:rPr>
          <w:rFonts w:ascii="Arial" w:hAnsi="Arial" w:cs="Arial"/>
        </w:rPr>
        <w:t xml:space="preserve"> ha planteado soluciones que las empresas pueden implementar para una adecuada gestión de sus riesgos financieros.</w:t>
      </w:r>
      <w:r w:rsidR="002C3751">
        <w:rPr>
          <w:rFonts w:ascii="Arial" w:hAnsi="Arial" w:cs="Arial"/>
        </w:rPr>
        <w:t xml:space="preserve"> </w:t>
      </w:r>
    </w:p>
    <w:p w14:paraId="08FA29E0" w14:textId="77777777" w:rsidR="009F453E" w:rsidRPr="009F453E" w:rsidRDefault="009F453E" w:rsidP="009F453E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9F453E">
        <w:rPr>
          <w:rStyle w:val="normaltextrun"/>
          <w:rFonts w:ascii="Arial" w:hAnsi="Arial" w:cs="Arial"/>
          <w:b/>
          <w:bCs/>
          <w:sz w:val="22"/>
          <w:szCs w:val="22"/>
        </w:rPr>
        <w:t xml:space="preserve">CaixaBank, entidad de referencia para las empresas   </w:t>
      </w:r>
    </w:p>
    <w:p w14:paraId="2E0DF2FF" w14:textId="77777777" w:rsidR="009F453E" w:rsidRPr="00E16C08" w:rsidRDefault="009F453E" w:rsidP="009F453E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16C08">
        <w:rPr>
          <w:rStyle w:val="normaltextrun"/>
          <w:rFonts w:ascii="Arial" w:hAnsi="Arial" w:cs="Arial"/>
          <w:sz w:val="22"/>
          <w:szCs w:val="22"/>
        </w:rPr>
        <w:t xml:space="preserve">CaixaBank, a través de su división CaixaBank Empresas, se ha consolidado como una entidad de referencia para el tejido empresarial gracias a su modelo de especialización. La entidad ofrece productos y servicios adaptados a las necesidades concretas de las empresas a través de las más de 70 centros de empresas ‘Store Pymes’, que prestan servicio a aquellas empresas que facturan menos 2 millones de euros, y de los más de 140 centros especializados en atender a empresas de mayor dimensión, que facturan más de 2 millones de euros. CaixaBank Empresas, por lo tanto, cuenta actualmente con una red total de más 220 centros y oficinas especializadas repartidas por todas las comunidades autónomas españolas en las que trabajan 2.200 profesionales altamente cualificados con sólida reputación en el asesoramiento empresarial. </w:t>
      </w:r>
    </w:p>
    <w:p w14:paraId="118F7291" w14:textId="77777777" w:rsidR="009F453E" w:rsidRPr="00E16C08" w:rsidRDefault="009F453E" w:rsidP="009F453E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16C08">
        <w:rPr>
          <w:rStyle w:val="normaltextrun"/>
          <w:rFonts w:ascii="Arial" w:hAnsi="Arial" w:cs="Arial"/>
          <w:sz w:val="22"/>
          <w:szCs w:val="22"/>
        </w:rPr>
        <w:t xml:space="preserve">La entidad cuenta con especialistas en financiación, comercio exterior, tesorería, turismo, negocio inmobiliario y pymes, que ofrecen un servicio personalizado más allá de lo financiero para apoyar e impulsar al sector empresarial. Además, a través de DayOne, CaixaBank presta atención especializada a empresas de tecnología, innovación y a sus inversores.  </w:t>
      </w:r>
    </w:p>
    <w:p w14:paraId="2E7AFCB8" w14:textId="77777777" w:rsidR="00154707" w:rsidRDefault="009F453E" w:rsidP="009F453E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16C08">
        <w:rPr>
          <w:rStyle w:val="normaltextrun"/>
          <w:rFonts w:ascii="Arial" w:hAnsi="Arial" w:cs="Arial"/>
          <w:sz w:val="22"/>
          <w:szCs w:val="22"/>
        </w:rPr>
        <w:t xml:space="preserve">En el ámbito internacional, la entidad apoya a sus clientes empresa con diversas soluciones operativas con acceso efectivo territorial a 127 mercados de distintos países y ofrece el mejor asesoramiento para sus operaciones en el extranjero. CaixaBank presta servicio tanto a las pymes y microempresas que están iniciando sus actividades exportadoras como a las grandes corporaciones y grupos empresariales que afrontan proyectos internacionales más complejos.   </w:t>
      </w:r>
    </w:p>
    <w:p w14:paraId="49BAAC7B" w14:textId="11D83521" w:rsidR="00154707" w:rsidRDefault="009F453E" w:rsidP="009F453E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16C08">
        <w:rPr>
          <w:rStyle w:val="normaltextrun"/>
          <w:rFonts w:ascii="Arial" w:hAnsi="Arial" w:cs="Arial"/>
          <w:sz w:val="22"/>
          <w:szCs w:val="22"/>
        </w:rPr>
        <w:t xml:space="preserve">La entidad financiera, en el marco del Plan de Banca Sostenible, integrado en su Plan Estratégico 2022-2024, asume la responsabilidad de promover una economía positiva para el bienestar de las personas a través de tres ambiciones: impulsar la transición sostenible de las empresas y la sociedad, liderar el impacto social positivo y favorecer la inclusión financiera. </w:t>
      </w:r>
    </w:p>
    <w:p w14:paraId="4D9CA602" w14:textId="160436AD" w:rsidR="009F453E" w:rsidRPr="00E16C08" w:rsidRDefault="009F453E" w:rsidP="009F453E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16C08">
        <w:rPr>
          <w:rStyle w:val="normaltextrun"/>
          <w:rFonts w:ascii="Arial" w:hAnsi="Arial" w:cs="Arial"/>
          <w:sz w:val="22"/>
          <w:szCs w:val="22"/>
        </w:rPr>
        <w:t>Además, el banco está presente en los índices de sostenibilidad más relevantes del mundo y es evaluada por los principales analistas especializados.</w:t>
      </w:r>
    </w:p>
    <w:p w14:paraId="6F1DFC53" w14:textId="77777777" w:rsidR="00F2601C" w:rsidRPr="008C153D" w:rsidRDefault="00F2601C" w:rsidP="009175C9">
      <w:pPr>
        <w:spacing w:line="276" w:lineRule="auto"/>
        <w:ind w:left="-426" w:right="-568"/>
        <w:jc w:val="both"/>
        <w:rPr>
          <w:rFonts w:ascii="Arial" w:hAnsi="Arial" w:cs="Arial"/>
        </w:rPr>
      </w:pPr>
    </w:p>
    <w:sectPr w:rsidR="00F2601C" w:rsidRPr="008C153D" w:rsidSect="000340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226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70CF" w14:textId="77777777" w:rsidR="00CE3D55" w:rsidRDefault="00CE3D55" w:rsidP="001E4FCE">
      <w:pPr>
        <w:spacing w:after="0" w:line="240" w:lineRule="auto"/>
      </w:pPr>
      <w:r>
        <w:separator/>
      </w:r>
    </w:p>
  </w:endnote>
  <w:endnote w:type="continuationSeparator" w:id="0">
    <w:p w14:paraId="3009B445" w14:textId="77777777" w:rsidR="00CE3D55" w:rsidRDefault="00CE3D55" w:rsidP="001E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3371" w14:textId="77777777" w:rsidR="00154707" w:rsidRDefault="001547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0B65" w14:textId="680E2B4E" w:rsidR="008F0D64" w:rsidRPr="00B60236" w:rsidRDefault="00154707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02A049FF" wp14:editId="53D0A725">
          <wp:simplePos x="0" y="0"/>
          <wp:positionH relativeFrom="margin">
            <wp:posOffset>650875</wp:posOffset>
          </wp:positionH>
          <wp:positionV relativeFrom="paragraph">
            <wp:posOffset>-539750</wp:posOffset>
          </wp:positionV>
          <wp:extent cx="4432935" cy="711200"/>
          <wp:effectExtent l="0" t="0" r="5715" b="0"/>
          <wp:wrapNone/>
          <wp:docPr id="27174112" name="Imagen 2" descr="Imatge que conté text, Font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74112" name="Imagen 2" descr="Imatge que conté text, Font, captura de pantalla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93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814" w:rsidRPr="0073512B">
      <w:rPr>
        <w:rFonts w:ascii="Arial" w:hAnsi="Arial" w:cs="Arial"/>
        <w:noProof/>
        <w:color w:val="636463"/>
        <w:sz w:val="16"/>
        <w:szCs w:val="16"/>
      </w:rPr>
      <mc:AlternateContent>
        <mc:Choice Requires="wps">
          <w:drawing>
            <wp:anchor distT="71755" distB="71755" distL="114300" distR="114300" simplePos="0" relativeHeight="251668480" behindDoc="0" locked="0" layoutInCell="1" allowOverlap="1" wp14:anchorId="12ADBDBC" wp14:editId="43E41D6F">
              <wp:simplePos x="0" y="0"/>
              <wp:positionH relativeFrom="margin">
                <wp:posOffset>-689610</wp:posOffset>
              </wp:positionH>
              <wp:positionV relativeFrom="page">
                <wp:posOffset>9528810</wp:posOffset>
              </wp:positionV>
              <wp:extent cx="1746885" cy="634365"/>
              <wp:effectExtent l="0" t="0" r="0" b="0"/>
              <wp:wrapSquare wrapText="bothSides"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885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7FC28F" w14:textId="681EDF1B" w:rsidR="00701814" w:rsidRDefault="00691DCB" w:rsidP="00701814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Elena Martin Egea</w:t>
                          </w:r>
                        </w:p>
                        <w:p w14:paraId="3A57B32E" w14:textId="0361FF0E" w:rsidR="00701814" w:rsidRPr="00280C9B" w:rsidRDefault="00701814" w:rsidP="005D5408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 w:rsidRPr="00280C9B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 xml:space="preserve">Comunicación </w:t>
                          </w:r>
                          <w:r w:rsidR="005D5408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 xml:space="preserve">DT EBRO </w:t>
                          </w:r>
                        </w:p>
                        <w:p w14:paraId="026C7789" w14:textId="6182734E" w:rsidR="002C3751" w:rsidRDefault="00033AC0" w:rsidP="00701814">
                          <w:pPr>
                            <w:rPr>
                              <w:rFonts w:ascii="Arial" w:eastAsiaTheme="minorEastAsia" w:hAnsi="Arial" w:cs="Arial"/>
                              <w:sz w:val="12"/>
                              <w:szCs w:val="12"/>
                              <w:lang w:eastAsia="es-ES"/>
                            </w:rPr>
                          </w:pPr>
                          <w:hyperlink r:id="rId2" w:history="1">
                            <w:r w:rsidR="00691DCB">
                              <w:rPr>
                                <w:rStyle w:val="Hipervnculo"/>
                                <w:rFonts w:ascii="Arial" w:eastAsiaTheme="minorEastAsia" w:hAnsi="Arial" w:cs="Arial"/>
                                <w:sz w:val="12"/>
                                <w:szCs w:val="12"/>
                                <w:lang w:eastAsia="es-ES"/>
                              </w:rPr>
                              <w:t>elena.m.martin@caixabank.com</w:t>
                            </w:r>
                          </w:hyperlink>
                        </w:p>
                        <w:p w14:paraId="63E859E6" w14:textId="648E7284" w:rsidR="005D5408" w:rsidRPr="005D5408" w:rsidRDefault="002C3751" w:rsidP="00701814">
                          <w:pPr>
                            <w:rPr>
                              <w:rFonts w:ascii="Arial" w:eastAsiaTheme="minorEastAsia" w:hAnsi="Arial" w:cs="Arial"/>
                              <w:color w:val="656565"/>
                              <w:sz w:val="12"/>
                              <w:szCs w:val="12"/>
                              <w:lang w:eastAsia="es-ES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sz w:val="12"/>
                              <w:szCs w:val="12"/>
                              <w:lang w:eastAsia="es-ES"/>
                            </w:rPr>
                            <w:t xml:space="preserve">Teléfono: </w:t>
                          </w:r>
                          <w:r w:rsidR="00691DCB">
                            <w:rPr>
                              <w:rFonts w:ascii="Arial" w:eastAsiaTheme="minorEastAsia" w:hAnsi="Arial" w:cs="Arial"/>
                              <w:sz w:val="12"/>
                              <w:szCs w:val="12"/>
                              <w:lang w:eastAsia="es-ES"/>
                            </w:rPr>
                            <w:t>619 713364</w:t>
                          </w:r>
                        </w:p>
                        <w:p w14:paraId="666C6D2F" w14:textId="77777777" w:rsidR="005D5408" w:rsidRPr="0042506E" w:rsidRDefault="005D5408" w:rsidP="0070181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DBDBC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7" type="#_x0000_t202" style="position:absolute;left:0;text-align:left;margin-left:-54.3pt;margin-top:750.3pt;width:137.55pt;height:49.95pt;z-index:251668480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eyJQIAAFEEAAAOAAAAZHJzL2Uyb0RvYy54bWysVE1v2zAMvQ/YfxB0X5ykTpoacYqsRYYB&#10;QVsgHXpWZCk2JouapMTOfv0o2flYt9Owi0yRFMXH9+T5fVsrchDWVaBzOhoMKRGaQ1HpXU6/va4+&#10;zShxnumCKdAip0fh6P3i44d5YzIxhhJUISzBItpljclp6b3JksTxUtTMDcAIjUEJtmYet3aXFJY1&#10;WL1WyXg4nCYN2MJY4MI59D52QbqI9aUU3D9L6YQnKqfYm4+rjes2rMlizrKdZaaseN8G+4cualZp&#10;vPRc6pF5Rva2+qNUXXELDqQfcKgTkLLiImJANKPhOzSbkhkRseBwnDmPyf2/svzpsDEvlvj2M7RI&#10;YAThzBr4d4ezSRrjsj4nzNRlDrMD0FbaOnwRAsGDONvjeZ6i9YSHarfpdDabUMIxNr1Jb6aTMPDk&#10;ctpY578IqEkwcmqRr9gBO6yd71JPKeEyDatKqciZ0r85sGbnEZH0/vSl4WD5dtuSqggosUTwbKE4&#10;IngLnS6c4asKG1kz51+YRSEgLBS3f8ZFKmhyCr1FSQn259/8IR/5wSglDQorp+7HnllBifqqkbm7&#10;UZoGJcZNOrkd48ZeR7bXEb2vHwC1O8JnZHg0Q75XJ1NaqN/wDSzDrRhimuPdOfUn88F3csc3xMVy&#10;GZNQe4b5td4YfuI8jPm1fWPW9Fx4ZPEJThJk2TtKutyOg+Xeg6wiX5ep9uJB3UbG+zcWHsb1PmZd&#10;/gSLXwAAAP//AwBQSwMEFAAGAAgAAAAhAKGc5y3eAAAADgEAAA8AAABkcnMvZG93bnJldi54bWxM&#10;j8tOwzAQRfdI/QdrkNi1dhGJShqnqkBsQfSB1J0bT5OIeBzFbhP+nskKdjO6R/eRb0bXihv2ofGk&#10;YblQIJBKbxuqNBz2b/MViBANWdN6Qg0/GGBTzO5yk1k/0CfedrESbEIhMxrqGLtMylDW6ExY+A6J&#10;tYvvnYn89pW0vRnY3LXyUalUOtMQJ9Smw5cay+/d1Wk4vl9OX0/qo3p1STf4UUlyz1Lrh/txuwYR&#10;cYx/MEz1uToU3Onsr2SDaDXMl2qVMstKwkEgJiZNExDn6VAqAVnk8v+M4hcAAP//AwBQSwECLQAU&#10;AAYACAAAACEAtoM4kv4AAADhAQAAEwAAAAAAAAAAAAAAAAAAAAAAW0NvbnRlbnRfVHlwZXNdLnht&#10;bFBLAQItABQABgAIAAAAIQA4/SH/1gAAAJQBAAALAAAAAAAAAAAAAAAAAC8BAABfcmVscy8ucmVs&#10;c1BLAQItABQABgAIAAAAIQCGGBeyJQIAAFEEAAAOAAAAAAAAAAAAAAAAAC4CAABkcnMvZTJvRG9j&#10;LnhtbFBLAQItABQABgAIAAAAIQChnOct3gAAAA4BAAAPAAAAAAAAAAAAAAAAAH8EAABkcnMvZG93&#10;bnJldi54bWxQSwUGAAAAAAQABADzAAAAigUAAAAA&#10;" filled="f" stroked="f">
              <v:textbox>
                <w:txbxContent>
                  <w:p w14:paraId="427FC28F" w14:textId="681EDF1B" w:rsidR="00701814" w:rsidRDefault="00691DCB" w:rsidP="00701814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Elena Martin Egea</w:t>
                    </w:r>
                  </w:p>
                  <w:p w14:paraId="3A57B32E" w14:textId="0361FF0E" w:rsidR="00701814" w:rsidRPr="00280C9B" w:rsidRDefault="00701814" w:rsidP="005D5408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 w:rsidRPr="00280C9B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 xml:space="preserve">Comunicación </w:t>
                    </w:r>
                    <w:r w:rsidR="005D5408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 xml:space="preserve">DT EBRO </w:t>
                    </w:r>
                  </w:p>
                  <w:p w14:paraId="026C7789" w14:textId="6182734E" w:rsidR="002C3751" w:rsidRDefault="00691DCB" w:rsidP="00701814">
                    <w:pPr>
                      <w:rPr>
                        <w:rFonts w:ascii="Arial" w:eastAsiaTheme="minorEastAsia" w:hAnsi="Arial" w:cs="Arial"/>
                        <w:sz w:val="12"/>
                        <w:szCs w:val="12"/>
                        <w:lang w:eastAsia="es-ES"/>
                      </w:rPr>
                    </w:pPr>
                    <w:hyperlink r:id="rId3" w:history="1">
                      <w:r>
                        <w:rPr>
                          <w:rStyle w:val="Hipervnculo"/>
                          <w:rFonts w:ascii="Arial" w:eastAsiaTheme="minorEastAsia" w:hAnsi="Arial" w:cs="Arial"/>
                          <w:sz w:val="12"/>
                          <w:szCs w:val="12"/>
                          <w:lang w:eastAsia="es-ES"/>
                        </w:rPr>
                        <w:t>elena.m.martin@caixabank.com</w:t>
                      </w:r>
                    </w:hyperlink>
                  </w:p>
                  <w:p w14:paraId="63E859E6" w14:textId="648E7284" w:rsidR="005D5408" w:rsidRPr="005D5408" w:rsidRDefault="002C3751" w:rsidP="00701814">
                    <w:pPr>
                      <w:rPr>
                        <w:rFonts w:ascii="Arial" w:eastAsiaTheme="minorEastAsia" w:hAnsi="Arial" w:cs="Arial"/>
                        <w:color w:val="656565"/>
                        <w:sz w:val="12"/>
                        <w:szCs w:val="12"/>
                        <w:lang w:eastAsia="es-ES"/>
                      </w:rPr>
                    </w:pPr>
                    <w:r>
                      <w:rPr>
                        <w:rFonts w:ascii="Arial" w:eastAsiaTheme="minorEastAsia" w:hAnsi="Arial" w:cs="Arial"/>
                        <w:sz w:val="12"/>
                        <w:szCs w:val="12"/>
                        <w:lang w:eastAsia="es-ES"/>
                      </w:rPr>
                      <w:t xml:space="preserve">Teléfono: </w:t>
                    </w:r>
                    <w:r w:rsidR="00691DCB">
                      <w:rPr>
                        <w:rFonts w:ascii="Arial" w:eastAsiaTheme="minorEastAsia" w:hAnsi="Arial" w:cs="Arial"/>
                        <w:sz w:val="12"/>
                        <w:szCs w:val="12"/>
                        <w:lang w:eastAsia="es-ES"/>
                      </w:rPr>
                      <w:t>61</w:t>
                    </w:r>
                    <w:r w:rsidR="00691DCB">
                      <w:rPr>
                        <w:rFonts w:ascii="Arial" w:eastAsiaTheme="minorEastAsia" w:hAnsi="Arial" w:cs="Arial"/>
                        <w:sz w:val="12"/>
                        <w:szCs w:val="12"/>
                        <w:lang w:eastAsia="es-ES"/>
                      </w:rPr>
                      <w:t>9 713364</w:t>
                    </w:r>
                  </w:p>
                  <w:p w14:paraId="666C6D2F" w14:textId="77777777" w:rsidR="005D5408" w:rsidRPr="0042506E" w:rsidRDefault="005D5408" w:rsidP="00701814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18584B">
      <w:rPr>
        <w:noProof/>
      </w:rPr>
      <w:t xml:space="preserve"> </w:t>
    </w:r>
    <w:r w:rsidR="00B6023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7D3522" wp14:editId="0854837B">
              <wp:simplePos x="0" y="0"/>
              <wp:positionH relativeFrom="page">
                <wp:align>center</wp:align>
              </wp:positionH>
              <wp:positionV relativeFrom="paragraph">
                <wp:posOffset>-560070</wp:posOffset>
              </wp:positionV>
              <wp:extent cx="6336000" cy="0"/>
              <wp:effectExtent l="0" t="0" r="0" b="0"/>
              <wp:wrapSquare wrapText="bothSides"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0A17C8" id="Conector recto 12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-44.1pt" to="498.9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E7mQEAAIgDAAAOAAAAZHJzL2Uyb0RvYy54bWysU9uO0zAQfUfiHyy/06S7UoWipvuwq+UF&#10;wYrLB3idcWOt7bHGpkn/nrHbpggQQogXx5dzzsyZmWzvZu/EAShZDL1cr1opIGgcbNj38uuXxzdv&#10;pUhZhUE5DNDLIyR5t3v9ajvFDm5wRDcACRYJqZtiL8ecY9c0SY/gVVphhMCPBsmrzEfaNwOpidW9&#10;a27adtNMSEMk1JAS3z6cHuWu6hsDOn80JkEWrpecW64r1fW5rM1uq7o9qThafU5D/UMWXtnAQRep&#10;B5WV+Eb2FylvNWFCk1cafYPGWA3VA7tZtz+5+TyqCNULFyfFpUzp/8nqD4f78ERchimmLsUnKi5m&#10;Q758OT8x12Idl2LBnIXmy83t7aZtuab68tZciZFSfgfoRdn00tlQfKhOHd6nzMEYeoHw4Rq67vLR&#10;QQG78AmMsAMHW1d2nQq4dyQOivs5vKxL/1irIgvFWOcWUvtn0hlbaFAn5W+JC7pGxJAXorcB6XdR&#10;83xJ1ZzwF9cnr8X2Mw7H2ohaDm53dXYezTJPP54r/foD7b4DAAD//wMAUEsDBBQABgAIAAAAIQB4&#10;L7Je3AAAAAgBAAAPAAAAZHJzL2Rvd25yZXYueG1sTI9NS8NAEIbvgv9hGcFbuzGHmsZsSimIeBGb&#10;6n2bnW7S7kfY3aTx3zuCoMeZd3jnearNbA2bMMTeOwEPywwYutar3mkBH4fnRQEsJumUNN6hgC+M&#10;sKlvbypZKn91e5yapBmVuFhKAV1KQ8l5bDu0Mi79gI6ykw9WJhqD5irIK5Vbw/MsW3Ere0cfOjng&#10;rsP20oxWgHkN06fe6W0cX/ar5vx+yt8OkxD3d/P2CVjCOf0dww8+oUNNTEc/OhWZEUAiScCiKHJg&#10;FK/Xj2Ry/N3wuuL/BepvAAAA//8DAFBLAQItABQABgAIAAAAIQC2gziS/gAAAOEBAAATAAAAAAAA&#10;AAAAAAAAAAAAAABbQ29udGVudF9UeXBlc10ueG1sUEsBAi0AFAAGAAgAAAAhADj9If/WAAAAlAEA&#10;AAsAAAAAAAAAAAAAAAAALwEAAF9yZWxzLy5yZWxzUEsBAi0AFAAGAAgAAAAhAGZk4TuZAQAAiAMA&#10;AA4AAAAAAAAAAAAAAAAALgIAAGRycy9lMm9Eb2MueG1sUEsBAi0AFAAGAAgAAAAhAHgvsl7cAAAA&#10;CAEAAA8AAAAAAAAAAAAAAAAA8wMAAGRycy9kb3ducmV2LnhtbFBLBQYAAAAABAAEAPMAAAD8BAAA&#10;AAA=&#10;" strokecolor="black [3200]" strokeweight=".5pt">
              <v:stroke joinstyle="miter"/>
              <w10:wrap type="square" anchorx="page"/>
            </v:line>
          </w:pict>
        </mc:Fallback>
      </mc:AlternateContent>
    </w:r>
    <w:sdt>
      <w:sdtPr>
        <w:id w:val="-199964317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8F0D64" w:rsidRPr="00B60236">
          <w:rPr>
            <w:rFonts w:ascii="Arial" w:hAnsi="Arial" w:cs="Arial"/>
            <w:sz w:val="16"/>
            <w:szCs w:val="16"/>
          </w:rPr>
          <w:fldChar w:fldCharType="begin"/>
        </w:r>
        <w:r w:rsidR="008F0D64" w:rsidRPr="00B60236">
          <w:rPr>
            <w:rFonts w:ascii="Arial" w:hAnsi="Arial" w:cs="Arial"/>
            <w:sz w:val="16"/>
            <w:szCs w:val="16"/>
          </w:rPr>
          <w:instrText>PAGE   \* MERGEFORMAT</w:instrText>
        </w:r>
        <w:r w:rsidR="008F0D64" w:rsidRPr="00B60236">
          <w:rPr>
            <w:rFonts w:ascii="Arial" w:hAnsi="Arial" w:cs="Arial"/>
            <w:sz w:val="16"/>
            <w:szCs w:val="16"/>
          </w:rPr>
          <w:fldChar w:fldCharType="separate"/>
        </w:r>
        <w:r w:rsidR="008F0D64" w:rsidRPr="00B60236">
          <w:rPr>
            <w:rFonts w:ascii="Arial" w:hAnsi="Arial" w:cs="Arial"/>
            <w:sz w:val="16"/>
            <w:szCs w:val="16"/>
          </w:rPr>
          <w:t>2</w:t>
        </w:r>
        <w:r w:rsidR="008F0D64" w:rsidRPr="00B60236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5C56A361" w14:textId="01EA410B" w:rsidR="00D040E1" w:rsidRDefault="00D040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C2D6" w14:textId="77777777" w:rsidR="00154707" w:rsidRDefault="001547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E08B" w14:textId="77777777" w:rsidR="00CE3D55" w:rsidRDefault="00CE3D55" w:rsidP="001E4FCE">
      <w:pPr>
        <w:spacing w:after="0" w:line="240" w:lineRule="auto"/>
      </w:pPr>
      <w:r>
        <w:separator/>
      </w:r>
    </w:p>
  </w:footnote>
  <w:footnote w:type="continuationSeparator" w:id="0">
    <w:p w14:paraId="545220E6" w14:textId="77777777" w:rsidR="00CE3D55" w:rsidRDefault="00CE3D55" w:rsidP="001E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34D6" w14:textId="77777777" w:rsidR="00154707" w:rsidRDefault="001547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BF40" w14:textId="04075842" w:rsidR="001E4FCE" w:rsidRDefault="00B602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660B0" wp14:editId="2E03C975">
              <wp:simplePos x="0" y="0"/>
              <wp:positionH relativeFrom="margin">
                <wp:align>center</wp:align>
              </wp:positionH>
              <wp:positionV relativeFrom="paragraph">
                <wp:posOffset>527685</wp:posOffset>
              </wp:positionV>
              <wp:extent cx="6286500" cy="17780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177800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solidFill>
                          <a:srgbClr val="DBDED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49EA2B" id="Rectángulo 1" o:spid="_x0000_s1026" style="position:absolute;margin-left:0;margin-top:41.55pt;width:495pt;height:1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ZWeQIAAIgFAAAOAAAAZHJzL2Uyb0RvYy54bWysVE1v2zAMvQ/YfxB0X50E/VpQp8iadRhQ&#10;tMXaoWdFlmIBsqhRSpzs14+SHadrix2KXWRSJJ/IZ5IXl9vGso3CYMCVfHw04kw5CZVxq5L/fLz+&#10;dM5ZiMJVwoJTJd+pwC9nHz9ctH6qJlCDrRQyAnFh2vqS1zH6aVEEWatGhCPwypFRAzYikoqrokLR&#10;Enpji8lodFq0gJVHkCoEul10Rj7L+ForGe+0DioyW3LKLeYT87lMZzG7ENMVCl8b2ach3pFFI4yj&#10;RweohYiCrdG8gmqMRAig45GEpgCtjVS5BqpmPHpRzUMtvMq1EDnBDzSF/wcrbzcP/h6JhtaHaSAx&#10;VbHV2KQv5ce2mazdQJbaRibp8nRyfnoyIk4l2cZnZ+ckE0xxiPYY4jcFDUtCyZF+RuZIbG5C7Fz3&#10;LumxANZU18barOBqeWWRbQT9uMWXxdfFokf/y82690VSlim0OBSdpbizKgFa90NpZioqc5JTzv2o&#10;hoSElMrFcWeqRaW6PImOgYQhIlOSAROypvoG7B4g9fpr7I6g3j+FqtzOQ/DoX4l1wUNEfhlcHIIb&#10;4wDfArBUVf9y578nqaMmsbSEanePDKEbpuDltaEffCNCvBdI00M9QRsh3tGhLbQlh17irAb8/dZ9&#10;8qemJitnLU1jycOvtUDFmf3uqN0/j4+P0/hm5fjkbEIKPrcsn1vcurkC6psx7R4vs5j8o92LGqF5&#10;osUxT6+SSThJb5dcRtwrV7HbErR6pJrPsxuNrBfxxj14mcATq6mBH7dPAn3f5ZHm4xb2kyumL5q9&#10;802RDubrCNrkSTjw2vNN454bp19NaZ8817PXYYHO/gAAAP//AwBQSwMEFAAGAAgAAAAhAGo5ZLPb&#10;AAAABwEAAA8AAABkcnMvZG93bnJldi54bWxMj0FPwzAMhe9I/IfISNxYOpCgK3UnhIQEhx628QPS&#10;xjTVGqc02Vr49ZgT+Ga/p+fvldvFD+pMU+wDI6xXGSjiNtieO4T3w8tNDiomw9YMgQnhiyJsq8uL&#10;0hQ2zLyj8z51SkI4FgbBpTQWWsfWkTdxFUZi0T7C5E2Sdeq0ncws4X7Qt1l2r73pWT44M9Kzo/a4&#10;P3mEOU+fdPjeNXWs66N74E6/vc6I11fL0yOoREv6M8MvvqBDJUxNOLGNakCQIgkhv1uDEnWzyeTQ&#10;iE0GdFXq//zVDwAAAP//AwBQSwECLQAUAAYACAAAACEAtoM4kv4AAADhAQAAEwAAAAAAAAAAAAAA&#10;AAAAAAAAW0NvbnRlbnRfVHlwZXNdLnhtbFBLAQItABQABgAIAAAAIQA4/SH/1gAAAJQBAAALAAAA&#10;AAAAAAAAAAAAAC8BAABfcmVscy8ucmVsc1BLAQItABQABgAIAAAAIQBbF8ZWeQIAAIgFAAAOAAAA&#10;AAAAAAAAAAAAAC4CAABkcnMvZTJvRG9jLnhtbFBLAQItABQABgAIAAAAIQBqOWSz2wAAAAcBAAAP&#10;AAAAAAAAAAAAAAAAANMEAABkcnMvZG93bnJldi54bWxQSwUGAAAAAAQABADzAAAA2wUAAAAA&#10;" fillcolor="#dbdedd" strokecolor="#dbdedd" strokeweight="1pt">
              <w10:wrap anchorx="margin"/>
            </v:rect>
          </w:pict>
        </mc:Fallback>
      </mc:AlternateContent>
    </w:r>
    <w:r w:rsidR="001F5497">
      <w:rPr>
        <w:noProof/>
      </w:rPr>
      <w:drawing>
        <wp:anchor distT="0" distB="0" distL="114300" distR="114300" simplePos="0" relativeHeight="251661312" behindDoc="0" locked="0" layoutInCell="1" allowOverlap="1" wp14:anchorId="41E385E5" wp14:editId="1A479489">
          <wp:simplePos x="0" y="0"/>
          <wp:positionH relativeFrom="column">
            <wp:posOffset>-438785</wp:posOffset>
          </wp:positionH>
          <wp:positionV relativeFrom="paragraph">
            <wp:posOffset>46355</wp:posOffset>
          </wp:positionV>
          <wp:extent cx="1625600" cy="335280"/>
          <wp:effectExtent l="0" t="0" r="0" b="7620"/>
          <wp:wrapSquare wrapText="bothSides"/>
          <wp:docPr id="7" name="Imagen 7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497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130C33" wp14:editId="4E73B70C">
              <wp:simplePos x="0" y="0"/>
              <wp:positionH relativeFrom="column">
                <wp:posOffset>3891915</wp:posOffset>
              </wp:positionH>
              <wp:positionV relativeFrom="paragraph">
                <wp:posOffset>89535</wp:posOffset>
              </wp:positionV>
              <wp:extent cx="2025650" cy="342900"/>
              <wp:effectExtent l="0" t="0" r="1270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B806D" w14:textId="7FAF32F5" w:rsidR="001E4FCE" w:rsidRPr="000D0614" w:rsidRDefault="001E4FCE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595959"/>
                              <w:sz w:val="32"/>
                              <w:szCs w:val="32"/>
                            </w:rPr>
                          </w:pPr>
                          <w:r w:rsidRPr="000D061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595959"/>
                              <w:sz w:val="32"/>
                              <w:szCs w:val="32"/>
                            </w:rPr>
                            <w:t>NOTA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30C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6.45pt;margin-top:7.05pt;width:159.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2gFQIAAB4EAAAOAAAAZHJzL2Uyb0RvYy54bWysU9uO2yAQfa/Uf0C8N3bcZLux4qy22aaq&#10;tL1I234AxthGBYYCib39+h1wNpumb1V5QAwzHGbOnFnfjFqRg3BegqnofJZTIgyHRpquoj++795c&#10;U+IDMw1TYERFH4WnN5vXr9aDLUUBPahGOIIgxpeDrWgfgi2zzPNeaOZnYIVBZwtOs4Cm67LGsQHR&#10;tcqKPL/KBnCNdcCF93h7NznpJuG3reDha9t6EYiqKOYW0u7SXsc926xZ2Tlme8mPabB/yEIzafDT&#10;E9QdC4zsnfwLSkvuwEMbZhx0Bm0ruUg1YDXz/KKah55ZkWpBcrw90eT/Hyz/cniw3xwJ43sYsYGp&#10;CG/vgf/0xMC2Z6YTt87B0AvW4MfzSFk2WF8en0aqfekjSD18hgabzPYBEtDYOh1ZwToJomMDHk+k&#10;izEQjpdFXiyvluji6Hu7KFZ56krGyufX1vnwUYAm8VBRh01N6Oxw70PMhpXPIfEzD0o2O6lUMlxX&#10;b5UjB4YC2KWVCrgIU4YMFV0ti+VEwB8QUYviBFJ3EwUXCFoGFLKSuqLXeVyTtCJrH0yTZBaYVNMZ&#10;M1bmSGNkbuIwjPWIgZHOGppHJNTBJFgcMDz04H5TMqBYK+p/7ZkTlKhPBpuymi8WUd3JWCzfFWi4&#10;c0997mGGI1RFAyXTcRvSRES+DNxi81qZeH3J5JgrijDRfRyYqPJzO0W9jPXmCQAA//8DAFBLAwQU&#10;AAYACAAAACEAXxuVY90AAAAJAQAADwAAAGRycy9kb3ducmV2LnhtbEyPwU7DMAyG70i8Q2QkbizN&#10;mKq1NJ0QiN0QoqBtx7QxbUXjVE22FZ4ec4Kj/f36/bnYzG4QJ5xC70mDWiQgkBpve2o1vL893axB&#10;hGjImsETavjCAJvy8qIwufVnesVTFVvBJRRyo6GLccylDE2HzoSFH5GYffjJmcjj1Eo7mTOXu0Eu&#10;kySVzvTEFzoz4kOHzWd1dBpCk6S7l1W129dyi9+ZtY+H7bPW11fz/R2IiHP8C8OvPqtDyU61P5IN&#10;YtCQqmXGUQYrBYID2a3iRc1krUCWhfz/QfkDAAD//wMAUEsBAi0AFAAGAAgAAAAhALaDOJL+AAAA&#10;4QEAABMAAAAAAAAAAAAAAAAAAAAAAFtDb250ZW50X1R5cGVzXS54bWxQSwECLQAUAAYACAAAACEA&#10;OP0h/9YAAACUAQAACwAAAAAAAAAAAAAAAAAvAQAAX3JlbHMvLnJlbHNQSwECLQAUAAYACAAAACEA&#10;xcItoBUCAAAeBAAADgAAAAAAAAAAAAAAAAAuAgAAZHJzL2Uyb0RvYy54bWxQSwECLQAUAAYACAAA&#10;ACEAXxuVY90AAAAJAQAADwAAAAAAAAAAAAAAAABvBAAAZHJzL2Rvd25yZXYueG1sUEsFBgAAAAAE&#10;AAQA8wAAAHkFAAAAAA==&#10;" strokecolor="white [3212]">
              <v:textbox>
                <w:txbxContent>
                  <w:p w14:paraId="38CB806D" w14:textId="7FAF32F5" w:rsidR="001E4FCE" w:rsidRPr="000D0614" w:rsidRDefault="001E4FCE">
                    <w:pP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595959"/>
                        <w:sz w:val="32"/>
                        <w:szCs w:val="32"/>
                      </w:rPr>
                    </w:pPr>
                    <w:r w:rsidRPr="000D0614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595959"/>
                        <w:sz w:val="32"/>
                        <w:szCs w:val="32"/>
                      </w:rPr>
                      <w:t>NOTA DE PRENSA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27BD" w14:textId="77777777" w:rsidR="00154707" w:rsidRDefault="001547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45231"/>
    <w:multiLevelType w:val="hybridMultilevel"/>
    <w:tmpl w:val="B7F0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A"/>
    <w:rsid w:val="0000667C"/>
    <w:rsid w:val="000075D9"/>
    <w:rsid w:val="00012E26"/>
    <w:rsid w:val="00030936"/>
    <w:rsid w:val="00033AC0"/>
    <w:rsid w:val="000340A4"/>
    <w:rsid w:val="00051CF6"/>
    <w:rsid w:val="0006627E"/>
    <w:rsid w:val="0006767D"/>
    <w:rsid w:val="000707A0"/>
    <w:rsid w:val="00073C3F"/>
    <w:rsid w:val="00075657"/>
    <w:rsid w:val="00087F12"/>
    <w:rsid w:val="000906F9"/>
    <w:rsid w:val="00094AD0"/>
    <w:rsid w:val="000B4398"/>
    <w:rsid w:val="000C3BF1"/>
    <w:rsid w:val="000C599E"/>
    <w:rsid w:val="000D0614"/>
    <w:rsid w:val="000E073A"/>
    <w:rsid w:val="001131AA"/>
    <w:rsid w:val="0012214D"/>
    <w:rsid w:val="00131372"/>
    <w:rsid w:val="00131B95"/>
    <w:rsid w:val="0014220F"/>
    <w:rsid w:val="00154307"/>
    <w:rsid w:val="00154707"/>
    <w:rsid w:val="0017006F"/>
    <w:rsid w:val="0018584B"/>
    <w:rsid w:val="00190C13"/>
    <w:rsid w:val="001A7F55"/>
    <w:rsid w:val="001C0D47"/>
    <w:rsid w:val="001D4F30"/>
    <w:rsid w:val="001D66A8"/>
    <w:rsid w:val="001E4FCE"/>
    <w:rsid w:val="001F5497"/>
    <w:rsid w:val="00201875"/>
    <w:rsid w:val="00203AEB"/>
    <w:rsid w:val="002072E3"/>
    <w:rsid w:val="00221CA2"/>
    <w:rsid w:val="0023523E"/>
    <w:rsid w:val="00254032"/>
    <w:rsid w:val="00254982"/>
    <w:rsid w:val="0026239C"/>
    <w:rsid w:val="002629B4"/>
    <w:rsid w:val="002704FE"/>
    <w:rsid w:val="002C3751"/>
    <w:rsid w:val="002F01A1"/>
    <w:rsid w:val="003105B8"/>
    <w:rsid w:val="003165D5"/>
    <w:rsid w:val="00322F7A"/>
    <w:rsid w:val="00382EE7"/>
    <w:rsid w:val="003A3753"/>
    <w:rsid w:val="003C2503"/>
    <w:rsid w:val="003C2C20"/>
    <w:rsid w:val="003E66E2"/>
    <w:rsid w:val="00436E40"/>
    <w:rsid w:val="00440610"/>
    <w:rsid w:val="004516E3"/>
    <w:rsid w:val="004558C4"/>
    <w:rsid w:val="00463B4C"/>
    <w:rsid w:val="00481FEA"/>
    <w:rsid w:val="004A4E05"/>
    <w:rsid w:val="004B7CFE"/>
    <w:rsid w:val="004D55AB"/>
    <w:rsid w:val="0055763F"/>
    <w:rsid w:val="00560213"/>
    <w:rsid w:val="00576267"/>
    <w:rsid w:val="005B66B4"/>
    <w:rsid w:val="005D5408"/>
    <w:rsid w:val="005E1532"/>
    <w:rsid w:val="005F6FD3"/>
    <w:rsid w:val="00601423"/>
    <w:rsid w:val="0066637B"/>
    <w:rsid w:val="00672CE4"/>
    <w:rsid w:val="00691DCB"/>
    <w:rsid w:val="00697ED9"/>
    <w:rsid w:val="006C45A5"/>
    <w:rsid w:val="00701814"/>
    <w:rsid w:val="00722F87"/>
    <w:rsid w:val="0072523E"/>
    <w:rsid w:val="0076742A"/>
    <w:rsid w:val="00780965"/>
    <w:rsid w:val="007B2D4A"/>
    <w:rsid w:val="007B498D"/>
    <w:rsid w:val="007D7C05"/>
    <w:rsid w:val="008429CD"/>
    <w:rsid w:val="00856A41"/>
    <w:rsid w:val="008A599A"/>
    <w:rsid w:val="008C153D"/>
    <w:rsid w:val="008F0D64"/>
    <w:rsid w:val="00901BE3"/>
    <w:rsid w:val="009175C9"/>
    <w:rsid w:val="00933603"/>
    <w:rsid w:val="0094475F"/>
    <w:rsid w:val="00973980"/>
    <w:rsid w:val="009B009B"/>
    <w:rsid w:val="009B515A"/>
    <w:rsid w:val="009C045E"/>
    <w:rsid w:val="009C55AD"/>
    <w:rsid w:val="009F39BB"/>
    <w:rsid w:val="009F453E"/>
    <w:rsid w:val="00A05282"/>
    <w:rsid w:val="00A30BE3"/>
    <w:rsid w:val="00A33144"/>
    <w:rsid w:val="00A575D6"/>
    <w:rsid w:val="00A7130F"/>
    <w:rsid w:val="00AB4067"/>
    <w:rsid w:val="00AF6C70"/>
    <w:rsid w:val="00B32ED6"/>
    <w:rsid w:val="00B3562E"/>
    <w:rsid w:val="00B42E4A"/>
    <w:rsid w:val="00B60236"/>
    <w:rsid w:val="00B947D7"/>
    <w:rsid w:val="00BA311D"/>
    <w:rsid w:val="00BB237C"/>
    <w:rsid w:val="00BB3623"/>
    <w:rsid w:val="00BE7385"/>
    <w:rsid w:val="00C5060B"/>
    <w:rsid w:val="00C70692"/>
    <w:rsid w:val="00C70962"/>
    <w:rsid w:val="00C869F8"/>
    <w:rsid w:val="00CA4019"/>
    <w:rsid w:val="00CC1975"/>
    <w:rsid w:val="00CC532F"/>
    <w:rsid w:val="00CE3D55"/>
    <w:rsid w:val="00CF0471"/>
    <w:rsid w:val="00D040E1"/>
    <w:rsid w:val="00D324C3"/>
    <w:rsid w:val="00D342F5"/>
    <w:rsid w:val="00D42801"/>
    <w:rsid w:val="00D45D42"/>
    <w:rsid w:val="00DA06EF"/>
    <w:rsid w:val="00DA0828"/>
    <w:rsid w:val="00DC0593"/>
    <w:rsid w:val="00DC15C8"/>
    <w:rsid w:val="00DC427A"/>
    <w:rsid w:val="00DF4C96"/>
    <w:rsid w:val="00DF6E6D"/>
    <w:rsid w:val="00E101FD"/>
    <w:rsid w:val="00E119D7"/>
    <w:rsid w:val="00E16C08"/>
    <w:rsid w:val="00E6220D"/>
    <w:rsid w:val="00E952E2"/>
    <w:rsid w:val="00E95E9D"/>
    <w:rsid w:val="00E97369"/>
    <w:rsid w:val="00EB15FF"/>
    <w:rsid w:val="00EC3988"/>
    <w:rsid w:val="00EC4734"/>
    <w:rsid w:val="00EF0779"/>
    <w:rsid w:val="00F20312"/>
    <w:rsid w:val="00F2601C"/>
    <w:rsid w:val="00F50BFB"/>
    <w:rsid w:val="00F56910"/>
    <w:rsid w:val="00F83E71"/>
    <w:rsid w:val="00F843D5"/>
    <w:rsid w:val="00F849EB"/>
    <w:rsid w:val="00F97448"/>
    <w:rsid w:val="00FA4564"/>
    <w:rsid w:val="00FA716A"/>
    <w:rsid w:val="00FC49DF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EFEDC"/>
  <w15:chartTrackingRefBased/>
  <w15:docId w15:val="{2693533F-CBAE-4A97-ABD5-E6BFFA7A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F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FCE"/>
  </w:style>
  <w:style w:type="paragraph" w:styleId="Piedepgina">
    <w:name w:val="footer"/>
    <w:basedOn w:val="Normal"/>
    <w:link w:val="Piedepgina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FCE"/>
  </w:style>
  <w:style w:type="character" w:styleId="Hipervnculo">
    <w:name w:val="Hyperlink"/>
    <w:basedOn w:val="Fuentedeprrafopredeter"/>
    <w:uiPriority w:val="99"/>
    <w:unhideWhenUsed/>
    <w:rsid w:val="00D040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0E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5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4558C4"/>
  </w:style>
  <w:style w:type="character" w:customStyle="1" w:styleId="eop">
    <w:name w:val="eop"/>
    <w:basedOn w:val="Fuentedeprrafopredeter"/>
    <w:rsid w:val="004558C4"/>
  </w:style>
  <w:style w:type="paragraph" w:styleId="Revisin">
    <w:name w:val="Revision"/>
    <w:hidden/>
    <w:uiPriority w:val="99"/>
    <w:semiHidden/>
    <w:rsid w:val="00A0528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C59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9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9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9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99E"/>
    <w:rPr>
      <w:b/>
      <w:bCs/>
      <w:sz w:val="20"/>
      <w:szCs w:val="20"/>
    </w:rPr>
  </w:style>
  <w:style w:type="paragraph" w:customStyle="1" w:styleId="Prrafobsico">
    <w:name w:val="[Párrafo básico]"/>
    <w:basedOn w:val="Normal"/>
    <w:uiPriority w:val="99"/>
    <w:qFormat/>
    <w:rsid w:val="0070181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073C3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orruel@caixabank.com" TargetMode="External"/><Relationship Id="rId2" Type="http://schemas.openxmlformats.org/officeDocument/2006/relationships/hyperlink" Target="mailto:mborruel@caixabank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FA71-1091-44DB-9F3B-72E37DC4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Pino</dc:creator>
  <cp:keywords/>
  <dc:description/>
  <cp:lastModifiedBy>ELENA MARIA MARTIN EGEA</cp:lastModifiedBy>
  <cp:revision>4</cp:revision>
  <cp:lastPrinted>2024-04-17T06:35:00Z</cp:lastPrinted>
  <dcterms:created xsi:type="dcterms:W3CDTF">2024-04-16T11:28:00Z</dcterms:created>
  <dcterms:modified xsi:type="dcterms:W3CDTF">2024-04-17T10:09:00Z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2022-09-12T12:11:05Z</vt:lpwstr>
  </property>
  <property fmtid="{D5CDD505-2E9C-101B-9397-08002B2CF9AE}" pid="4" name="MSIP_Label_c2c11c9e-624c-4a75-9f78-0989052ff6ea_Method">
    <vt:lpwstr>Standard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f42509b9-c4b9-45ea-b9b5-7713a7ee1d42</vt:lpwstr>
  </property>
  <property fmtid="{D5CDD505-2E9C-101B-9397-08002B2CF9AE}" pid="8" name="MSIP_Label_c2c11c9e-624c-4a75-9f78-0989052ff6ea_ContentBits">
    <vt:lpwstr>0</vt:lpwstr>
  </property>
</Properties>
</file>