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35FA" w14:textId="7EA98AE4" w:rsidR="00892FD5" w:rsidRPr="000109BE" w:rsidRDefault="00B34416" w:rsidP="00892FD5">
      <w:pPr>
        <w:ind w:left="-426"/>
        <w:jc w:val="both"/>
        <w:rPr>
          <w:rFonts w:ascii="Arial" w:hAnsi="Arial" w:cs="Arial"/>
          <w:b/>
          <w:i/>
          <w:color w:val="008DDC"/>
          <w:sz w:val="32"/>
          <w:szCs w:val="32"/>
        </w:rPr>
      </w:pPr>
      <w:r w:rsidRPr="000109BE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CaixaBank concede </w:t>
      </w:r>
      <w:r w:rsidR="0039016E">
        <w:rPr>
          <w:rFonts w:ascii="Arial" w:hAnsi="Arial" w:cs="Arial"/>
          <w:b/>
          <w:i/>
          <w:iCs/>
          <w:color w:val="009FEA"/>
          <w:sz w:val="32"/>
          <w:szCs w:val="32"/>
        </w:rPr>
        <w:t>600</w:t>
      </w:r>
      <w:r w:rsidRPr="000109BE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</w:t>
      </w:r>
      <w:r w:rsidR="00192004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millones de </w:t>
      </w:r>
      <w:r w:rsidRPr="000109BE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euros a las empresas de </w:t>
      </w:r>
      <w:r w:rsidR="00192004">
        <w:rPr>
          <w:rFonts w:ascii="Arial" w:hAnsi="Arial" w:cs="Arial"/>
          <w:b/>
          <w:i/>
          <w:iCs/>
          <w:color w:val="009FEA"/>
          <w:sz w:val="32"/>
          <w:szCs w:val="32"/>
        </w:rPr>
        <w:t>Extremadura</w:t>
      </w:r>
      <w:r w:rsidRPr="000109BE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durante </w:t>
      </w:r>
      <w:r w:rsidR="00D02640">
        <w:rPr>
          <w:rFonts w:ascii="Arial" w:hAnsi="Arial" w:cs="Arial"/>
          <w:b/>
          <w:i/>
          <w:iCs/>
          <w:color w:val="009FEA"/>
          <w:sz w:val="32"/>
          <w:szCs w:val="32"/>
        </w:rPr>
        <w:t>2023</w:t>
      </w:r>
      <w:r w:rsidR="007B628B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, un </w:t>
      </w:r>
      <w:r w:rsidR="00127ED9" w:rsidRPr="00127ED9">
        <w:rPr>
          <w:rFonts w:ascii="Arial" w:hAnsi="Arial" w:cs="Arial"/>
          <w:b/>
          <w:i/>
          <w:iCs/>
          <w:color w:val="009FEA"/>
          <w:sz w:val="32"/>
          <w:szCs w:val="32"/>
        </w:rPr>
        <w:t>80</w:t>
      </w:r>
      <w:r w:rsidR="007B628B" w:rsidRPr="00127ED9">
        <w:rPr>
          <w:rFonts w:ascii="Arial" w:hAnsi="Arial" w:cs="Arial"/>
          <w:b/>
          <w:i/>
          <w:iCs/>
          <w:color w:val="009FEA"/>
          <w:sz w:val="32"/>
          <w:szCs w:val="32"/>
        </w:rPr>
        <w:t>%</w:t>
      </w:r>
      <w:r w:rsidR="007B628B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más</w:t>
      </w:r>
    </w:p>
    <w:p w14:paraId="04149B41" w14:textId="77777777" w:rsidR="00892FD5" w:rsidRPr="000109BE" w:rsidRDefault="00892FD5" w:rsidP="00892FD5">
      <w:pPr>
        <w:jc w:val="both"/>
      </w:pPr>
    </w:p>
    <w:p w14:paraId="2594C184" w14:textId="77777777" w:rsidR="00892FD5" w:rsidRPr="000109BE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lang w:val="es-ES"/>
        </w:rPr>
      </w:pPr>
    </w:p>
    <w:p w14:paraId="51447AB6" w14:textId="205607AC" w:rsidR="00B34416" w:rsidRPr="000109BE" w:rsidRDefault="00B34416" w:rsidP="00B3441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>La entidad financiera realiz</w:t>
      </w:r>
      <w:r w:rsidR="007B628B">
        <w:rPr>
          <w:rFonts w:ascii="Arial" w:hAnsi="Arial" w:cs="Arial"/>
          <w:b/>
          <w:i/>
          <w:iCs/>
          <w:lang w:val="es-ES"/>
        </w:rPr>
        <w:t>ó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  <w:r w:rsidR="00127ED9">
        <w:rPr>
          <w:rFonts w:ascii="Arial" w:hAnsi="Arial" w:cs="Arial"/>
          <w:b/>
          <w:i/>
          <w:iCs/>
          <w:lang w:val="es-ES"/>
        </w:rPr>
        <w:t>1.885</w:t>
      </w:r>
      <w:r w:rsidRPr="000109BE">
        <w:rPr>
          <w:rFonts w:ascii="Arial" w:hAnsi="Arial" w:cs="Arial"/>
          <w:b/>
          <w:i/>
          <w:iCs/>
          <w:lang w:val="es-ES"/>
        </w:rPr>
        <w:t xml:space="preserve"> operaciones de concesión de crédito a empresas </w:t>
      </w:r>
      <w:r w:rsidR="007B628B">
        <w:rPr>
          <w:rFonts w:ascii="Arial" w:hAnsi="Arial" w:cs="Arial"/>
          <w:b/>
          <w:i/>
          <w:iCs/>
          <w:lang w:val="es-ES"/>
        </w:rPr>
        <w:t>el pasado ejercicio</w:t>
      </w:r>
      <w:r w:rsidR="00147FBD">
        <w:rPr>
          <w:rFonts w:ascii="Arial" w:hAnsi="Arial" w:cs="Arial"/>
          <w:b/>
          <w:i/>
          <w:iCs/>
          <w:lang w:val="es-ES"/>
        </w:rPr>
        <w:t>.</w:t>
      </w:r>
    </w:p>
    <w:p w14:paraId="6EF44631" w14:textId="77777777" w:rsidR="00B34416" w:rsidRPr="000109BE" w:rsidRDefault="00B34416" w:rsidP="00B34416">
      <w:pPr>
        <w:pStyle w:val="Prrafobsico"/>
        <w:suppressAutoHyphens/>
        <w:spacing w:line="276" w:lineRule="auto"/>
        <w:jc w:val="both"/>
        <w:textAlignment w:val="auto"/>
        <w:rPr>
          <w:rFonts w:ascii="Arial" w:hAnsi="Arial" w:cs="Arial"/>
          <w:b/>
          <w:i/>
          <w:iCs/>
          <w:lang w:val="es-ES"/>
        </w:rPr>
      </w:pPr>
    </w:p>
    <w:p w14:paraId="625E4596" w14:textId="1F711B11" w:rsidR="00B34416" w:rsidRDefault="00B34416" w:rsidP="00B34416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textAlignment w:val="auto"/>
        <w:rPr>
          <w:rFonts w:ascii="Arial" w:hAnsi="Arial" w:cs="Arial"/>
          <w:b/>
          <w:i/>
          <w:iCs/>
          <w:lang w:val="es-ES"/>
        </w:rPr>
      </w:pPr>
      <w:r w:rsidRPr="000109BE">
        <w:rPr>
          <w:rFonts w:ascii="Arial" w:hAnsi="Arial" w:cs="Arial"/>
          <w:b/>
          <w:i/>
          <w:iCs/>
          <w:lang w:val="es-ES"/>
        </w:rPr>
        <w:t xml:space="preserve">CaixaBank </w:t>
      </w:r>
      <w:r w:rsidR="007B628B">
        <w:rPr>
          <w:rFonts w:ascii="Arial" w:hAnsi="Arial" w:cs="Arial"/>
          <w:b/>
          <w:i/>
          <w:iCs/>
          <w:lang w:val="es-ES"/>
        </w:rPr>
        <w:t>o</w:t>
      </w:r>
      <w:r w:rsidR="007B628B" w:rsidRPr="00D40459">
        <w:rPr>
          <w:rFonts w:ascii="Arial" w:hAnsi="Arial" w:cs="Arial"/>
          <w:b/>
          <w:i/>
          <w:iCs/>
          <w:lang w:val="es-ES"/>
        </w:rPr>
        <w:t xml:space="preserve">frece un servicio adaptado a las empresas de </w:t>
      </w:r>
      <w:r w:rsidR="00860F20">
        <w:rPr>
          <w:rFonts w:ascii="Arial" w:hAnsi="Arial" w:cs="Arial"/>
          <w:b/>
          <w:i/>
          <w:iCs/>
          <w:lang w:val="es-ES"/>
        </w:rPr>
        <w:t>Extremadura</w:t>
      </w:r>
      <w:r w:rsidR="007B628B" w:rsidRPr="00D40459">
        <w:rPr>
          <w:rFonts w:ascii="Arial" w:hAnsi="Arial" w:cs="Arial"/>
          <w:b/>
          <w:i/>
          <w:iCs/>
          <w:lang w:val="es-ES"/>
        </w:rPr>
        <w:t xml:space="preserve"> a través de </w:t>
      </w:r>
      <w:r w:rsidR="000D0016">
        <w:rPr>
          <w:rFonts w:ascii="Arial" w:hAnsi="Arial" w:cs="Arial"/>
          <w:b/>
          <w:i/>
          <w:iCs/>
          <w:lang w:val="es-ES"/>
        </w:rPr>
        <w:t>tres</w:t>
      </w:r>
      <w:r w:rsidR="007B628B" w:rsidRPr="00D40459">
        <w:rPr>
          <w:rFonts w:ascii="Arial" w:hAnsi="Arial" w:cs="Arial"/>
          <w:b/>
          <w:i/>
          <w:iCs/>
          <w:lang w:val="es-ES"/>
        </w:rPr>
        <w:t xml:space="preserve"> centros </w:t>
      </w:r>
      <w:r w:rsidR="007B628B">
        <w:rPr>
          <w:rFonts w:ascii="Arial" w:hAnsi="Arial" w:cs="Arial"/>
          <w:b/>
          <w:i/>
          <w:iCs/>
          <w:lang w:val="es-ES"/>
        </w:rPr>
        <w:t>y oficinas</w:t>
      </w:r>
      <w:r w:rsidR="007B628B" w:rsidRPr="00D40459">
        <w:rPr>
          <w:rFonts w:ascii="Arial" w:hAnsi="Arial" w:cs="Arial"/>
          <w:b/>
          <w:i/>
          <w:iCs/>
          <w:lang w:val="es-ES"/>
        </w:rPr>
        <w:t xml:space="preserve"> especializados</w:t>
      </w:r>
      <w:r w:rsidR="00147FBD">
        <w:rPr>
          <w:rFonts w:ascii="Arial" w:hAnsi="Arial" w:cs="Arial"/>
          <w:b/>
          <w:i/>
          <w:iCs/>
          <w:lang w:val="es-ES"/>
        </w:rPr>
        <w:t>.</w:t>
      </w:r>
      <w:r w:rsidRPr="000109BE">
        <w:rPr>
          <w:rFonts w:ascii="Arial" w:hAnsi="Arial" w:cs="Arial"/>
          <w:b/>
          <w:i/>
          <w:iCs/>
          <w:lang w:val="es-ES"/>
        </w:rPr>
        <w:t xml:space="preserve"> </w:t>
      </w:r>
    </w:p>
    <w:p w14:paraId="56862733" w14:textId="77777777" w:rsidR="007B628B" w:rsidRDefault="007B628B" w:rsidP="007B628B">
      <w:pPr>
        <w:pStyle w:val="Prrafodelista"/>
        <w:rPr>
          <w:rFonts w:ascii="Arial" w:hAnsi="Arial" w:cs="Arial"/>
          <w:b/>
          <w:i/>
          <w:iCs/>
        </w:rPr>
      </w:pPr>
    </w:p>
    <w:p w14:paraId="7FA1B19C" w14:textId="77777777" w:rsidR="00101BDD" w:rsidRPr="000109BE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lang w:val="es-ES"/>
        </w:rPr>
      </w:pPr>
    </w:p>
    <w:p w14:paraId="7927A986" w14:textId="7B441194" w:rsidR="008E1EA6" w:rsidRPr="00616381" w:rsidRDefault="003D67D1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Badajoz</w:t>
      </w:r>
      <w:r w:rsidR="005562E5" w:rsidRPr="00616381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5E3CE3">
        <w:rPr>
          <w:rFonts w:ascii="Arial" w:hAnsi="Arial" w:cs="Arial"/>
          <w:b/>
          <w:bCs/>
          <w:sz w:val="22"/>
          <w:szCs w:val="22"/>
          <w:lang w:val="es-ES"/>
        </w:rPr>
        <w:t>20</w:t>
      </w:r>
      <w:r w:rsidR="00616381" w:rsidRPr="00616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5562E5" w:rsidRPr="00616381">
        <w:rPr>
          <w:rFonts w:ascii="Arial" w:hAnsi="Arial" w:cs="Arial"/>
          <w:b/>
          <w:bCs/>
          <w:sz w:val="22"/>
          <w:szCs w:val="22"/>
          <w:lang w:val="es-ES"/>
        </w:rPr>
        <w:t>de</w:t>
      </w:r>
      <w:r w:rsidR="00F0670D">
        <w:rPr>
          <w:rFonts w:ascii="Arial" w:hAnsi="Arial" w:cs="Arial"/>
          <w:b/>
          <w:bCs/>
          <w:sz w:val="22"/>
          <w:szCs w:val="22"/>
          <w:lang w:val="es-ES"/>
        </w:rPr>
        <w:t xml:space="preserve"> marzo</w:t>
      </w:r>
      <w:r w:rsidR="005562E5" w:rsidRPr="00616381">
        <w:rPr>
          <w:rFonts w:ascii="Arial" w:hAnsi="Arial" w:cs="Arial"/>
          <w:b/>
          <w:bCs/>
          <w:sz w:val="22"/>
          <w:szCs w:val="22"/>
          <w:lang w:val="es-ES"/>
        </w:rPr>
        <w:t xml:space="preserve"> 202</w:t>
      </w:r>
      <w:r w:rsidR="00616381" w:rsidRPr="00616381">
        <w:rPr>
          <w:rFonts w:ascii="Arial" w:hAnsi="Arial" w:cs="Arial"/>
          <w:b/>
          <w:bCs/>
          <w:sz w:val="22"/>
          <w:szCs w:val="22"/>
          <w:lang w:val="es-ES"/>
        </w:rPr>
        <w:t>4</w:t>
      </w:r>
    </w:p>
    <w:p w14:paraId="24611BCC" w14:textId="51FC9251" w:rsidR="005562E5" w:rsidRDefault="005562E5" w:rsidP="008E1EA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>CaixaBank concedi</w:t>
      </w:r>
      <w:r w:rsidR="007B628B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ó </w:t>
      </w:r>
      <w:r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 total de </w:t>
      </w:r>
      <w:r w:rsidR="003D67D1">
        <w:rPr>
          <w:rFonts w:ascii="Arial" w:hAnsi="Arial" w:cs="Arial"/>
          <w:color w:val="000000" w:themeColor="text1"/>
          <w:sz w:val="22"/>
          <w:szCs w:val="22"/>
          <w:lang w:val="es-ES"/>
        </w:rPr>
        <w:t>600</w:t>
      </w:r>
      <w:r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millones de euros a las empresas de </w:t>
      </w:r>
      <w:r w:rsidR="003D67D1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Extremadura </w:t>
      </w:r>
      <w:r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durante </w:t>
      </w:r>
      <w:r w:rsidR="00616381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>2023</w:t>
      </w:r>
      <w:r w:rsid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lo que supone un </w:t>
      </w:r>
      <w:r w:rsidR="007B628B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crecimiento del </w:t>
      </w:r>
      <w:r w:rsidR="003D67D1">
        <w:rPr>
          <w:rFonts w:ascii="Arial" w:hAnsi="Arial" w:cs="Arial"/>
          <w:color w:val="000000" w:themeColor="text1"/>
          <w:sz w:val="22"/>
          <w:szCs w:val="22"/>
          <w:lang w:val="es-ES"/>
        </w:rPr>
        <w:t>80</w:t>
      </w:r>
      <w:r w:rsidR="007B628B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>% respecto al mismo periodo del año anterio</w:t>
      </w:r>
      <w:r w:rsidR="007B628B">
        <w:rPr>
          <w:rFonts w:ascii="Arial" w:hAnsi="Arial" w:cs="Arial"/>
          <w:color w:val="000000" w:themeColor="text1"/>
          <w:sz w:val="22"/>
          <w:szCs w:val="22"/>
          <w:lang w:val="es-ES"/>
        </w:rPr>
        <w:t>r</w:t>
      </w:r>
      <w:r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  <w:r w:rsidR="007B628B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cifra corresponde a un total de </w:t>
      </w:r>
      <w:r w:rsidR="003D67D1">
        <w:rPr>
          <w:rFonts w:ascii="Arial" w:hAnsi="Arial" w:cs="Arial"/>
          <w:color w:val="000000" w:themeColor="text1"/>
          <w:sz w:val="22"/>
          <w:szCs w:val="22"/>
          <w:lang w:val="es-ES"/>
        </w:rPr>
        <w:t>1.885</w:t>
      </w:r>
      <w:r w:rsidR="007B628B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operaciones</w:t>
      </w:r>
      <w:r w:rsid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un </w:t>
      </w:r>
      <w:r w:rsidR="001E736A">
        <w:rPr>
          <w:rFonts w:ascii="Arial" w:hAnsi="Arial" w:cs="Arial"/>
          <w:color w:val="000000" w:themeColor="text1"/>
          <w:sz w:val="22"/>
          <w:szCs w:val="22"/>
          <w:lang w:val="es-ES"/>
        </w:rPr>
        <w:t>15%</w:t>
      </w:r>
      <w:r w:rsidR="007B628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más que en el pasado ejercicio</w:t>
      </w:r>
      <w:r w:rsidR="00616381" w:rsidRPr="007B628B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5E21355F" w14:textId="63E18FC9" w:rsidR="007B628B" w:rsidRPr="007B628B" w:rsidRDefault="007B628B" w:rsidP="008E1EA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0109BE">
        <w:rPr>
          <w:rFonts w:ascii="Arial" w:hAnsi="Arial" w:cs="Arial"/>
          <w:sz w:val="22"/>
          <w:szCs w:val="22"/>
          <w:lang w:val="es-ES"/>
        </w:rPr>
        <w:t>Este volumen de crédito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0109BE">
        <w:rPr>
          <w:rFonts w:ascii="Arial" w:hAnsi="Arial" w:cs="Arial"/>
          <w:sz w:val="22"/>
          <w:szCs w:val="22"/>
          <w:lang w:val="es-ES"/>
        </w:rPr>
        <w:t xml:space="preserve"> dirigido a pequeñas, medianas y grandes empresas de</w:t>
      </w:r>
      <w:r w:rsidR="001E736A">
        <w:rPr>
          <w:rFonts w:ascii="Arial" w:hAnsi="Arial" w:cs="Arial"/>
          <w:sz w:val="22"/>
          <w:szCs w:val="22"/>
          <w:lang w:val="es-ES"/>
        </w:rPr>
        <w:t xml:space="preserve"> Extremadura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0109BE">
        <w:rPr>
          <w:rFonts w:ascii="Arial" w:hAnsi="Arial" w:cs="Arial"/>
          <w:sz w:val="22"/>
          <w:szCs w:val="22"/>
          <w:lang w:val="es-ES"/>
        </w:rPr>
        <w:t xml:space="preserve"> se ha destinado, principalmente, a </w:t>
      </w:r>
      <w:r w:rsidRPr="00D004FE">
        <w:rPr>
          <w:rFonts w:ascii="Arial" w:hAnsi="Arial" w:cs="Arial"/>
          <w:sz w:val="22"/>
          <w:szCs w:val="22"/>
          <w:lang w:val="es-ES"/>
        </w:rPr>
        <w:t xml:space="preserve">inyectar liquidez y a financiar inversiones para el crecimiento de sus negocios. CaixaBank ofrece a las empresas, además, diversas líneas de financiación especializada, como el </w:t>
      </w:r>
      <w:r w:rsidRPr="00D004FE">
        <w:rPr>
          <w:rFonts w:ascii="Arial" w:hAnsi="Arial" w:cs="Arial"/>
          <w:i/>
          <w:iCs/>
          <w:sz w:val="22"/>
          <w:szCs w:val="22"/>
          <w:lang w:val="es-ES"/>
        </w:rPr>
        <w:t>factoring</w:t>
      </w:r>
      <w:r w:rsidRPr="00D004FE">
        <w:rPr>
          <w:rFonts w:ascii="Arial" w:hAnsi="Arial" w:cs="Arial"/>
          <w:sz w:val="22"/>
          <w:szCs w:val="22"/>
          <w:lang w:val="es-ES"/>
        </w:rPr>
        <w:t xml:space="preserve">, el </w:t>
      </w:r>
      <w:r w:rsidRPr="00D004FE">
        <w:rPr>
          <w:rFonts w:ascii="Arial" w:hAnsi="Arial" w:cs="Arial"/>
          <w:i/>
          <w:iCs/>
          <w:sz w:val="22"/>
          <w:szCs w:val="22"/>
          <w:lang w:val="es-ES"/>
        </w:rPr>
        <w:t>confirming</w:t>
      </w:r>
      <w:r w:rsidRPr="00D004FE">
        <w:rPr>
          <w:rFonts w:ascii="Arial" w:hAnsi="Arial" w:cs="Arial"/>
          <w:sz w:val="22"/>
          <w:szCs w:val="22"/>
          <w:lang w:val="es-ES"/>
        </w:rPr>
        <w:t xml:space="preserve"> o el </w:t>
      </w:r>
      <w:r w:rsidRPr="00D004FE">
        <w:rPr>
          <w:rFonts w:ascii="Arial" w:hAnsi="Arial" w:cs="Arial"/>
          <w:i/>
          <w:iCs/>
          <w:sz w:val="22"/>
          <w:szCs w:val="22"/>
          <w:lang w:val="es-ES"/>
        </w:rPr>
        <w:t>renting</w:t>
      </w:r>
      <w:r w:rsidRPr="00D004FE">
        <w:rPr>
          <w:rFonts w:ascii="Arial" w:hAnsi="Arial" w:cs="Arial"/>
          <w:sz w:val="22"/>
          <w:szCs w:val="22"/>
          <w:lang w:val="es-ES"/>
        </w:rPr>
        <w:t>, para garantizar tanto las necesidades de circulante de las empresas como las inversiones a largo plazo</w:t>
      </w:r>
      <w:r w:rsidR="00BD6B4E">
        <w:rPr>
          <w:rFonts w:ascii="Arial" w:hAnsi="Arial" w:cs="Arial"/>
          <w:sz w:val="22"/>
          <w:szCs w:val="22"/>
          <w:lang w:val="es-ES"/>
        </w:rPr>
        <w:t>.</w:t>
      </w:r>
    </w:p>
    <w:p w14:paraId="3450FE9C" w14:textId="43977EE8" w:rsidR="008A7C97" w:rsidRDefault="00F0670D" w:rsidP="008A7C97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002C7175">
        <w:rPr>
          <w:rFonts w:ascii="Arial" w:hAnsi="Arial" w:cs="Arial"/>
          <w:sz w:val="22"/>
          <w:szCs w:val="22"/>
          <w:lang w:val="es-ES"/>
        </w:rPr>
        <w:t>El director</w:t>
      </w:r>
      <w:r w:rsidR="0049257A" w:rsidRPr="002C7175">
        <w:rPr>
          <w:rFonts w:ascii="Arial" w:hAnsi="Arial" w:cs="Arial"/>
          <w:sz w:val="22"/>
          <w:szCs w:val="22"/>
          <w:lang w:val="es-ES"/>
        </w:rPr>
        <w:t xml:space="preserve"> territorial de CaixaBank en </w:t>
      </w:r>
      <w:r w:rsidR="002C7175" w:rsidRPr="002C7175">
        <w:rPr>
          <w:rFonts w:ascii="Arial" w:hAnsi="Arial" w:cs="Arial"/>
          <w:sz w:val="22"/>
          <w:szCs w:val="22"/>
          <w:lang w:val="es-ES"/>
        </w:rPr>
        <w:t>Castilla-La Mancha y Extremadura</w:t>
      </w:r>
      <w:r w:rsidR="0049257A" w:rsidRPr="002C7175">
        <w:rPr>
          <w:rFonts w:ascii="Arial" w:hAnsi="Arial" w:cs="Arial"/>
          <w:sz w:val="22"/>
          <w:szCs w:val="22"/>
          <w:lang w:val="es-ES"/>
        </w:rPr>
        <w:t>,</w:t>
      </w:r>
      <w:r w:rsidRPr="002C7175">
        <w:rPr>
          <w:rFonts w:ascii="Arial" w:hAnsi="Arial" w:cs="Arial"/>
          <w:sz w:val="22"/>
          <w:szCs w:val="22"/>
          <w:lang w:val="es-ES"/>
        </w:rPr>
        <w:t xml:space="preserve"> </w:t>
      </w:r>
      <w:r w:rsidR="002C7175" w:rsidRPr="002C7175">
        <w:rPr>
          <w:rFonts w:ascii="Arial" w:hAnsi="Arial" w:cs="Arial"/>
          <w:sz w:val="22"/>
          <w:szCs w:val="22"/>
          <w:lang w:val="es-ES"/>
        </w:rPr>
        <w:t>Juan Luis Vidal</w:t>
      </w:r>
      <w:r w:rsidRPr="002C7175">
        <w:rPr>
          <w:rFonts w:ascii="Arial" w:hAnsi="Arial" w:cs="Arial"/>
          <w:sz w:val="22"/>
          <w:szCs w:val="22"/>
          <w:lang w:val="es-ES"/>
        </w:rPr>
        <w:t>,</w:t>
      </w:r>
      <w:r w:rsidR="0049257A" w:rsidRPr="000109BE">
        <w:rPr>
          <w:rFonts w:ascii="Arial" w:hAnsi="Arial" w:cs="Arial"/>
          <w:sz w:val="22"/>
          <w:szCs w:val="22"/>
          <w:lang w:val="es-ES"/>
        </w:rPr>
        <w:t xml:space="preserve"> </w:t>
      </w:r>
      <w:r w:rsidR="008A7C97">
        <w:rPr>
          <w:rFonts w:ascii="Arial" w:hAnsi="Arial" w:cs="Arial"/>
          <w:sz w:val="22"/>
          <w:szCs w:val="22"/>
          <w:lang w:val="es-ES"/>
        </w:rPr>
        <w:t xml:space="preserve">ha </w:t>
      </w:r>
      <w:r>
        <w:rPr>
          <w:rFonts w:ascii="Arial" w:hAnsi="Arial" w:cs="Arial"/>
          <w:sz w:val="22"/>
          <w:szCs w:val="22"/>
          <w:lang w:val="es-ES"/>
        </w:rPr>
        <w:t>expresado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“la </w:t>
      </w:r>
      <w:r w:rsidR="008A7C97" w:rsidRPr="000109BE">
        <w:rPr>
          <w:rFonts w:ascii="Arial" w:hAnsi="Arial" w:cs="Arial"/>
          <w:sz w:val="22"/>
          <w:szCs w:val="22"/>
          <w:lang w:val="es-ES"/>
        </w:rPr>
        <w:t>confianza de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la entidad financiera</w:t>
      </w:r>
      <w:r w:rsidR="008A7C97" w:rsidRPr="000109BE">
        <w:rPr>
          <w:rFonts w:ascii="Arial" w:hAnsi="Arial" w:cs="Arial"/>
          <w:sz w:val="22"/>
          <w:szCs w:val="22"/>
          <w:lang w:val="es-ES"/>
        </w:rPr>
        <w:t xml:space="preserve"> en el tejido empresarial </w:t>
      </w:r>
      <w:r w:rsidR="002C7175">
        <w:rPr>
          <w:rFonts w:ascii="Arial" w:hAnsi="Arial" w:cs="Arial"/>
          <w:sz w:val="22"/>
          <w:szCs w:val="22"/>
          <w:lang w:val="es-ES"/>
        </w:rPr>
        <w:t>extremeño</w:t>
      </w:r>
      <w:r w:rsidR="008A7C97" w:rsidRPr="000109BE">
        <w:rPr>
          <w:rFonts w:ascii="Arial" w:hAnsi="Arial" w:cs="Arial"/>
          <w:sz w:val="22"/>
          <w:szCs w:val="22"/>
          <w:lang w:val="es-ES"/>
        </w:rPr>
        <w:t xml:space="preserve"> com</w:t>
      </w:r>
      <w:r w:rsidR="009443E8">
        <w:rPr>
          <w:rFonts w:ascii="Arial" w:hAnsi="Arial" w:cs="Arial"/>
          <w:sz w:val="22"/>
          <w:szCs w:val="22"/>
          <w:lang w:val="es-ES"/>
        </w:rPr>
        <w:t>o un motor determinant</w:t>
      </w:r>
      <w:r w:rsidR="000D0016">
        <w:rPr>
          <w:rFonts w:ascii="Arial" w:hAnsi="Arial" w:cs="Arial"/>
          <w:sz w:val="22"/>
          <w:szCs w:val="22"/>
          <w:lang w:val="es-ES"/>
        </w:rPr>
        <w:t>e</w:t>
      </w:r>
      <w:r w:rsidR="009443E8">
        <w:rPr>
          <w:rFonts w:ascii="Arial" w:hAnsi="Arial" w:cs="Arial"/>
          <w:sz w:val="22"/>
          <w:szCs w:val="22"/>
          <w:lang w:val="es-ES"/>
        </w:rPr>
        <w:t xml:space="preserve"> en </w:t>
      </w:r>
      <w:r w:rsidR="008A7C97" w:rsidRPr="000109BE">
        <w:rPr>
          <w:rFonts w:ascii="Arial" w:hAnsi="Arial" w:cs="Arial"/>
          <w:sz w:val="22"/>
          <w:szCs w:val="22"/>
          <w:lang w:val="es-ES"/>
        </w:rPr>
        <w:t>el crecimiento económico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</w:t>
      </w:r>
      <w:r w:rsidR="003851F7">
        <w:rPr>
          <w:rFonts w:ascii="Arial" w:hAnsi="Arial" w:cs="Arial"/>
          <w:sz w:val="22"/>
          <w:szCs w:val="22"/>
          <w:lang w:val="es-ES"/>
        </w:rPr>
        <w:t>regional</w:t>
      </w:r>
      <w:r w:rsidR="008A7C97">
        <w:rPr>
          <w:rFonts w:ascii="Arial" w:hAnsi="Arial" w:cs="Arial"/>
          <w:sz w:val="22"/>
          <w:szCs w:val="22"/>
          <w:lang w:val="es-ES"/>
        </w:rPr>
        <w:t>”</w:t>
      </w:r>
      <w:r w:rsidR="00692DE8">
        <w:rPr>
          <w:rFonts w:ascii="Arial" w:hAnsi="Arial" w:cs="Arial"/>
          <w:sz w:val="22"/>
          <w:szCs w:val="22"/>
          <w:lang w:val="es-ES"/>
        </w:rPr>
        <w:t xml:space="preserve"> y, </w:t>
      </w:r>
      <w:r w:rsidR="00173649">
        <w:rPr>
          <w:rFonts w:ascii="Arial" w:hAnsi="Arial" w:cs="Arial"/>
          <w:sz w:val="22"/>
          <w:szCs w:val="22"/>
          <w:lang w:val="es-ES"/>
        </w:rPr>
        <w:t>a este respecto</w:t>
      </w:r>
      <w:r w:rsidR="00692DE8">
        <w:rPr>
          <w:rFonts w:ascii="Arial" w:hAnsi="Arial" w:cs="Arial"/>
          <w:sz w:val="22"/>
          <w:szCs w:val="22"/>
          <w:lang w:val="es-ES"/>
        </w:rPr>
        <w:t>, ha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</w:t>
      </w:r>
      <w:r w:rsidR="00692DE8">
        <w:rPr>
          <w:rFonts w:ascii="Arial" w:hAnsi="Arial" w:cs="Arial"/>
          <w:sz w:val="22"/>
          <w:szCs w:val="22"/>
          <w:lang w:val="es-ES"/>
        </w:rPr>
        <w:t>puesto en valor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</w:t>
      </w:r>
      <w:r w:rsidR="00173649">
        <w:rPr>
          <w:rFonts w:ascii="Arial" w:hAnsi="Arial" w:cs="Arial"/>
          <w:sz w:val="22"/>
          <w:szCs w:val="22"/>
          <w:lang w:val="es-ES"/>
        </w:rPr>
        <w:t xml:space="preserve">que </w:t>
      </w:r>
      <w:r w:rsidR="00FD4A4B">
        <w:rPr>
          <w:rFonts w:ascii="Arial" w:hAnsi="Arial" w:cs="Arial"/>
          <w:sz w:val="22"/>
          <w:szCs w:val="22"/>
          <w:lang w:val="es-ES"/>
        </w:rPr>
        <w:t>“</w:t>
      </w:r>
      <w:r w:rsidR="00692DE8">
        <w:rPr>
          <w:rFonts w:ascii="Arial" w:hAnsi="Arial" w:cs="Arial"/>
          <w:sz w:val="22"/>
          <w:szCs w:val="22"/>
          <w:lang w:val="es-ES"/>
        </w:rPr>
        <w:t>el respaldo de</w:t>
      </w:r>
      <w:r w:rsidR="008A7C97">
        <w:rPr>
          <w:rFonts w:ascii="Arial" w:hAnsi="Arial" w:cs="Arial"/>
          <w:sz w:val="22"/>
          <w:szCs w:val="22"/>
          <w:lang w:val="es-ES"/>
        </w:rPr>
        <w:t xml:space="preserve"> </w:t>
      </w:r>
      <w:r w:rsidR="008A7C97" w:rsidRPr="008A7C97">
        <w:rPr>
          <w:rFonts w:ascii="Arial" w:hAnsi="Arial" w:cs="Arial"/>
          <w:sz w:val="22"/>
          <w:szCs w:val="22"/>
          <w:lang w:val="es-ES"/>
        </w:rPr>
        <w:t xml:space="preserve">CaixaBank </w:t>
      </w:r>
      <w:r w:rsidR="008A7C97">
        <w:rPr>
          <w:rFonts w:ascii="Arial" w:hAnsi="Arial" w:cs="Arial"/>
          <w:sz w:val="22"/>
          <w:szCs w:val="22"/>
          <w:lang w:val="es-ES"/>
        </w:rPr>
        <w:t>al sector empresarial va más allá del ámbito financiero</w:t>
      </w:r>
      <w:r w:rsidR="00692DE8">
        <w:rPr>
          <w:rFonts w:ascii="Arial" w:hAnsi="Arial" w:cs="Arial"/>
          <w:sz w:val="22"/>
          <w:szCs w:val="22"/>
          <w:lang w:val="es-ES"/>
        </w:rPr>
        <w:t>”. “P</w:t>
      </w:r>
      <w:r w:rsidR="00692DE8">
        <w:rPr>
          <w:rFonts w:ascii="Arial" w:hAnsi="Arial" w:cs="Arial"/>
          <w:color w:val="auto"/>
          <w:sz w:val="22"/>
          <w:szCs w:val="22"/>
          <w:lang w:val="es-ES"/>
        </w:rPr>
        <w:t>ara nosotros es fundamental estar cerca de los empresarios en su día a día a través de un</w:t>
      </w:r>
      <w:r w:rsidR="008A7C97" w:rsidRPr="000109BE">
        <w:rPr>
          <w:rFonts w:ascii="Arial" w:hAnsi="Arial" w:cs="Arial"/>
          <w:color w:val="auto"/>
          <w:sz w:val="22"/>
          <w:szCs w:val="22"/>
          <w:lang w:val="es-ES"/>
        </w:rPr>
        <w:t xml:space="preserve"> asesoramiento </w:t>
      </w:r>
      <w:r w:rsidR="00130F67">
        <w:rPr>
          <w:rFonts w:ascii="Arial" w:hAnsi="Arial" w:cs="Arial"/>
          <w:color w:val="auto"/>
          <w:sz w:val="22"/>
          <w:szCs w:val="22"/>
          <w:lang w:val="es-ES"/>
        </w:rPr>
        <w:t xml:space="preserve">de alta calidad </w:t>
      </w:r>
      <w:r w:rsidR="008A7C97" w:rsidRPr="000109BE">
        <w:rPr>
          <w:rFonts w:ascii="Arial" w:hAnsi="Arial" w:cs="Arial"/>
          <w:color w:val="auto"/>
          <w:sz w:val="22"/>
          <w:szCs w:val="22"/>
          <w:lang w:val="es-ES"/>
        </w:rPr>
        <w:t>y acompañamiento”</w:t>
      </w:r>
      <w:r w:rsidR="00173649">
        <w:rPr>
          <w:rFonts w:ascii="Arial" w:hAnsi="Arial" w:cs="Arial"/>
          <w:color w:val="auto"/>
          <w:sz w:val="22"/>
          <w:szCs w:val="22"/>
          <w:lang w:val="es-ES"/>
        </w:rPr>
        <w:t>, ha destacado</w:t>
      </w:r>
      <w:r w:rsidR="00FD4A4B">
        <w:rPr>
          <w:rFonts w:ascii="Arial" w:hAnsi="Arial" w:cs="Arial"/>
          <w:color w:val="auto"/>
          <w:sz w:val="22"/>
          <w:szCs w:val="22"/>
          <w:lang w:val="es-ES"/>
        </w:rPr>
        <w:t xml:space="preserve"> Vidal</w:t>
      </w:r>
      <w:r w:rsidR="008A7C97" w:rsidRPr="000109BE">
        <w:rPr>
          <w:rFonts w:ascii="Arial" w:hAnsi="Arial" w:cs="Arial"/>
          <w:color w:val="auto"/>
          <w:sz w:val="22"/>
          <w:szCs w:val="22"/>
          <w:lang w:val="es-ES"/>
        </w:rPr>
        <w:t>.</w:t>
      </w:r>
    </w:p>
    <w:p w14:paraId="2F1976E2" w14:textId="51281CE3" w:rsidR="006E6E19" w:rsidRDefault="007B628B" w:rsidP="005325B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CaixaBank pone a disposición de las </w:t>
      </w:r>
      <w:r w:rsidRPr="00E61011">
        <w:rPr>
          <w:rFonts w:ascii="Arial" w:hAnsi="Arial" w:cs="Arial"/>
          <w:sz w:val="22"/>
          <w:szCs w:val="22"/>
        </w:rPr>
        <w:t xml:space="preserve">empresas de </w:t>
      </w:r>
      <w:r w:rsidR="00B32242">
        <w:rPr>
          <w:rFonts w:ascii="Arial" w:hAnsi="Arial" w:cs="Arial"/>
          <w:sz w:val="22"/>
          <w:szCs w:val="22"/>
        </w:rPr>
        <w:t>Extremadura</w:t>
      </w:r>
      <w:r w:rsidRPr="00E61011">
        <w:rPr>
          <w:rFonts w:ascii="Arial" w:hAnsi="Arial" w:cs="Arial"/>
          <w:sz w:val="22"/>
          <w:szCs w:val="22"/>
        </w:rPr>
        <w:t xml:space="preserve"> </w:t>
      </w:r>
      <w:r w:rsidR="003851F7">
        <w:rPr>
          <w:rFonts w:ascii="Arial" w:hAnsi="Arial" w:cs="Arial"/>
          <w:sz w:val="22"/>
          <w:szCs w:val="22"/>
        </w:rPr>
        <w:t xml:space="preserve">un total de </w:t>
      </w:r>
      <w:r w:rsidR="000D0016">
        <w:rPr>
          <w:rFonts w:ascii="Arial" w:hAnsi="Arial" w:cs="Arial"/>
          <w:sz w:val="22"/>
          <w:szCs w:val="22"/>
        </w:rPr>
        <w:t>tres</w:t>
      </w:r>
      <w:r w:rsidRPr="00E61011">
        <w:rPr>
          <w:rFonts w:ascii="Arial" w:hAnsi="Arial" w:cs="Arial"/>
          <w:sz w:val="22"/>
          <w:szCs w:val="22"/>
        </w:rPr>
        <w:t xml:space="preserve"> centros</w:t>
      </w:r>
      <w:r>
        <w:rPr>
          <w:rFonts w:ascii="Arial" w:hAnsi="Arial" w:cs="Arial"/>
          <w:sz w:val="22"/>
          <w:szCs w:val="22"/>
        </w:rPr>
        <w:t xml:space="preserve"> y oficinas especializados para dar respuesta, exclusivamente, a las necesidades de las empresas. En estos espacios trabajan un amplio equipo de profesionales expertos en la gestión integral de las empresas, ofreciendo una propuesta de valor única y diferenciada</w:t>
      </w:r>
      <w:r w:rsidRPr="00C532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54594F" w14:textId="77777777" w:rsidR="005325B3" w:rsidRPr="005325B3" w:rsidRDefault="005325B3" w:rsidP="005325B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sz w:val="22"/>
          <w:szCs w:val="22"/>
        </w:rPr>
      </w:pPr>
      <w:r w:rsidRPr="005325B3">
        <w:rPr>
          <w:rFonts w:ascii="Arial" w:hAnsi="Arial" w:cs="Arial"/>
          <w:b/>
          <w:bCs/>
          <w:sz w:val="22"/>
          <w:szCs w:val="22"/>
        </w:rPr>
        <w:t xml:space="preserve">CaixaBank, entidad de referencia para las empresas   </w:t>
      </w:r>
    </w:p>
    <w:p w14:paraId="0FB82166" w14:textId="77777777" w:rsidR="000D0016" w:rsidRDefault="00C739AA" w:rsidP="00C739AA">
      <w:pPr>
        <w:pStyle w:val="Prrafobsico"/>
        <w:suppressAutoHyphens/>
        <w:spacing w:before="227" w:line="276" w:lineRule="auto"/>
        <w:ind w:left="-426"/>
        <w:jc w:val="both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CaixaBank, a través de su división CaixaBank Empresas, se ha consolidado como una entidad de referencia para el tejido empresarial gracias a su modelo de especialización. </w:t>
      </w:r>
    </w:p>
    <w:p w14:paraId="25DD2422" w14:textId="5BB6D28C" w:rsidR="00C739AA" w:rsidRDefault="00C739AA" w:rsidP="00C739AA">
      <w:pPr>
        <w:pStyle w:val="Prrafobsico"/>
        <w:suppressAutoHyphens/>
        <w:spacing w:before="227" w:line="276" w:lineRule="auto"/>
        <w:ind w:left="-426"/>
        <w:jc w:val="both"/>
        <w:rPr>
          <w:rStyle w:val="eop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lastRenderedPageBreak/>
        <w:t>La entidad ofrece productos y servicios adaptados a las necesidades concretas de las empresas a través de las más de 70 centros ‘Store Pymes’, que prestan servicio a aquellas empresas que facturan menos</w:t>
      </w:r>
      <w:r w:rsidR="006926C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de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2 millones de euros, y de los más de 140 centros especializados en atender a empresas de mayor dimensión, que facturan más de 2 millones de euros. CaixaBank Empresas, por lo tanto, cuenta actualmente con una red total de más 220 centros y oficinas especializadas repartidas por todas las comunidades autónomas españolas en las que trabajan 2.200 profesionales altamente cualificados con sólida reputación en el asesoramiento empresarial.</w:t>
      </w:r>
      <w:r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007AD395" w14:textId="77777777" w:rsidR="005325B3" w:rsidRPr="005325B3" w:rsidRDefault="005325B3" w:rsidP="005325B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325B3">
        <w:rPr>
          <w:rFonts w:ascii="Arial" w:hAnsi="Arial" w:cs="Arial"/>
          <w:sz w:val="22"/>
          <w:szCs w:val="22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Además, a través de DayOne, CaixaBank presta atención especializada a empresas de tecnología, innovación y a sus inversores. </w:t>
      </w:r>
    </w:p>
    <w:p w14:paraId="0313B859" w14:textId="77777777" w:rsidR="005325B3" w:rsidRPr="005325B3" w:rsidRDefault="005325B3" w:rsidP="005325B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325B3">
        <w:rPr>
          <w:rFonts w:ascii="Arial" w:hAnsi="Arial" w:cs="Arial"/>
          <w:sz w:val="22"/>
          <w:szCs w:val="22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</w:t>
      </w:r>
    </w:p>
    <w:p w14:paraId="6E3B1782" w14:textId="369A8E5B" w:rsidR="005325B3" w:rsidRPr="005325B3" w:rsidRDefault="005325B3" w:rsidP="005325B3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325B3">
        <w:rPr>
          <w:rFonts w:ascii="Arial" w:hAnsi="Arial" w:cs="Arial"/>
          <w:sz w:val="22"/>
          <w:szCs w:val="22"/>
        </w:rPr>
        <w:t>La entidad financiera, en el marco del Plan de Banca Sostenible, integrado en su Plan Estratégico 2022-2024, asume la responsabilidad de promover una economía positiva para el bienestar de las personas a través de tres ambiciones: impulsar la transición sostenible de las empresas y la sociedad, liderar el impacto social positivo y favorecer la inclusión financiera. Además, el banco está presente en los índices de sostenibilidad más relevantes del mundo y es evaluada por los principales analistas especializados.</w:t>
      </w:r>
    </w:p>
    <w:sectPr w:rsidR="005325B3" w:rsidRPr="005325B3" w:rsidSect="00FA3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3ABB" w14:textId="77777777" w:rsidR="00024327" w:rsidRDefault="00024327" w:rsidP="000360D2">
      <w:r>
        <w:separator/>
      </w:r>
    </w:p>
  </w:endnote>
  <w:endnote w:type="continuationSeparator" w:id="0">
    <w:p w14:paraId="057C64C9" w14:textId="77777777" w:rsidR="00024327" w:rsidRDefault="00024327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3A266402" w:rsidR="00B4497F" w:rsidRDefault="00D02640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742208" behindDoc="1" locked="0" layoutInCell="1" allowOverlap="1" wp14:anchorId="6DD76AAE" wp14:editId="38BBA54E">
          <wp:simplePos x="0" y="0"/>
          <wp:positionH relativeFrom="margin">
            <wp:posOffset>978535</wp:posOffset>
          </wp:positionH>
          <wp:positionV relativeFrom="paragraph">
            <wp:posOffset>-464185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8AD"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680768" behindDoc="0" locked="0" layoutInCell="1" allowOverlap="1" wp14:anchorId="2C87255D" wp14:editId="217B4EC3">
              <wp:simplePos x="0" y="0"/>
              <wp:positionH relativeFrom="margin">
                <wp:posOffset>-356235</wp:posOffset>
              </wp:positionH>
              <wp:positionV relativeFrom="page">
                <wp:posOffset>9753600</wp:posOffset>
              </wp:positionV>
              <wp:extent cx="1493520" cy="532765"/>
              <wp:effectExtent l="0" t="0" r="0" b="635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DC5C" w14:textId="0FE1ABAC" w:rsidR="00BE06CC" w:rsidRPr="00DD0A4A" w:rsidRDefault="00F27211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 w:rsidR="0079603F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y Relaciones Institucionales</w:t>
                          </w:r>
                        </w:p>
                        <w:p w14:paraId="4F87DD62" w14:textId="77777777" w:rsidR="00BE06CC" w:rsidRPr="0025402C" w:rsidRDefault="00BE06CC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2A44D5BD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28.05pt;margin-top:768pt;width:117.6pt;height:41.95pt;z-index:251680768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" filled="f" stroked="f">
              <v:textbox>
                <w:txbxContent>
                  <w:p w14:paraId="048FDC5C" w14:textId="0FE1ABAC" w:rsidR="00BE06CC" w:rsidRPr="00DD0A4A" w:rsidRDefault="00F27211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 w:rsidR="0079603F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y Relaciones Institucionales</w:t>
                    </w:r>
                  </w:p>
                  <w:p w14:paraId="4F87DD62" w14:textId="77777777" w:rsidR="00BE06CC" w:rsidRPr="0025402C" w:rsidRDefault="00BE06CC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2A44D5BD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B2408">
      <w:rPr>
        <w:noProof/>
      </w:rPr>
      <mc:AlternateContent>
        <mc:Choice Requires="wps">
          <w:drawing>
            <wp:anchor distT="71755" distB="71755" distL="114300" distR="114300" simplePos="0" relativeHeight="251667456" behindDoc="0" locked="0" layoutInCell="1" allowOverlap="1" wp14:anchorId="40BE6662" wp14:editId="59F42112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56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C1B95" id="Conector recto 1" o:spid="_x0000_s1026" style="position:absolute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page;mso-height-relative:page" from="-34.8pt,745.5pt" to="460.15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029F" w14:textId="77777777" w:rsidR="00D02640" w:rsidRDefault="00D026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3300" w14:textId="77777777" w:rsidR="00024327" w:rsidRDefault="00024327" w:rsidP="000360D2">
      <w:r>
        <w:separator/>
      </w:r>
    </w:p>
  </w:footnote>
  <w:footnote w:type="continuationSeparator" w:id="0">
    <w:p w14:paraId="476D94E2" w14:textId="77777777" w:rsidR="00024327" w:rsidRDefault="00024327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8F7" w14:textId="77777777" w:rsidR="00D02640" w:rsidRDefault="00D026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77777777" w:rsidR="00792603" w:rsidRDefault="00BF42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198D73EB">
              <wp:simplePos x="0" y="0"/>
              <wp:positionH relativeFrom="column">
                <wp:posOffset>3928256</wp:posOffset>
              </wp:positionH>
              <wp:positionV relativeFrom="paragraph">
                <wp:posOffset>122555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9.3pt;margin-top:9.65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E6E19">
      <w:rPr>
        <w:rFonts w:ascii="Arial" w:hAnsi="Arial" w:cs="Arial"/>
        <w:b/>
        <w:i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740160" behindDoc="1" locked="0" layoutInCell="1" allowOverlap="1" wp14:anchorId="3F1885A5" wp14:editId="2ACBDC9D">
          <wp:simplePos x="0" y="0"/>
          <wp:positionH relativeFrom="column">
            <wp:posOffset>-461010</wp:posOffset>
          </wp:positionH>
          <wp:positionV relativeFrom="paragraph">
            <wp:posOffset>-24765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D0FBFD3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FB3F" w14:textId="77777777" w:rsidR="00D02640" w:rsidRDefault="00D026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2325">
    <w:abstractNumId w:val="0"/>
  </w:num>
  <w:num w:numId="2" w16cid:durableId="567761759">
    <w:abstractNumId w:val="1"/>
  </w:num>
  <w:num w:numId="3" w16cid:durableId="84405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35E0"/>
    <w:rsid w:val="00006A67"/>
    <w:rsid w:val="000109BE"/>
    <w:rsid w:val="0001284E"/>
    <w:rsid w:val="00024327"/>
    <w:rsid w:val="000360D2"/>
    <w:rsid w:val="00050025"/>
    <w:rsid w:val="00053626"/>
    <w:rsid w:val="00097733"/>
    <w:rsid w:val="000A071D"/>
    <w:rsid w:val="000B56B9"/>
    <w:rsid w:val="000B722D"/>
    <w:rsid w:val="000C5A8A"/>
    <w:rsid w:val="000D0016"/>
    <w:rsid w:val="00101BDD"/>
    <w:rsid w:val="00114F0A"/>
    <w:rsid w:val="0011586D"/>
    <w:rsid w:val="00120D60"/>
    <w:rsid w:val="00127ED9"/>
    <w:rsid w:val="00130F67"/>
    <w:rsid w:val="00136E98"/>
    <w:rsid w:val="00147FBD"/>
    <w:rsid w:val="00157A06"/>
    <w:rsid w:val="00165094"/>
    <w:rsid w:val="00173649"/>
    <w:rsid w:val="00185E83"/>
    <w:rsid w:val="001871B1"/>
    <w:rsid w:val="00192004"/>
    <w:rsid w:val="0019644D"/>
    <w:rsid w:val="00196918"/>
    <w:rsid w:val="001A12C9"/>
    <w:rsid w:val="001D3986"/>
    <w:rsid w:val="001E736A"/>
    <w:rsid w:val="00204DEC"/>
    <w:rsid w:val="002140BF"/>
    <w:rsid w:val="00214571"/>
    <w:rsid w:val="00217981"/>
    <w:rsid w:val="00227940"/>
    <w:rsid w:val="002364DA"/>
    <w:rsid w:val="00267FF2"/>
    <w:rsid w:val="0029003A"/>
    <w:rsid w:val="00291ECE"/>
    <w:rsid w:val="002A07C0"/>
    <w:rsid w:val="002A1C88"/>
    <w:rsid w:val="002A47D1"/>
    <w:rsid w:val="002A4AE6"/>
    <w:rsid w:val="002B292E"/>
    <w:rsid w:val="002C02D9"/>
    <w:rsid w:val="002C7175"/>
    <w:rsid w:val="002D4006"/>
    <w:rsid w:val="00303463"/>
    <w:rsid w:val="003416CF"/>
    <w:rsid w:val="00350637"/>
    <w:rsid w:val="00352F6A"/>
    <w:rsid w:val="00362E28"/>
    <w:rsid w:val="00372D14"/>
    <w:rsid w:val="003751C2"/>
    <w:rsid w:val="00376C43"/>
    <w:rsid w:val="003851F7"/>
    <w:rsid w:val="0039016E"/>
    <w:rsid w:val="003C4891"/>
    <w:rsid w:val="003D67D1"/>
    <w:rsid w:val="003E01A6"/>
    <w:rsid w:val="003E2E97"/>
    <w:rsid w:val="004148AD"/>
    <w:rsid w:val="00420468"/>
    <w:rsid w:val="0042506E"/>
    <w:rsid w:val="004316A6"/>
    <w:rsid w:val="00431A19"/>
    <w:rsid w:val="00434B95"/>
    <w:rsid w:val="00434CD8"/>
    <w:rsid w:val="0045231F"/>
    <w:rsid w:val="00452CE8"/>
    <w:rsid w:val="0045774D"/>
    <w:rsid w:val="004648FD"/>
    <w:rsid w:val="004719F6"/>
    <w:rsid w:val="004775E0"/>
    <w:rsid w:val="0049257A"/>
    <w:rsid w:val="004A6D61"/>
    <w:rsid w:val="004B5AB2"/>
    <w:rsid w:val="004D5441"/>
    <w:rsid w:val="004F444E"/>
    <w:rsid w:val="00505E03"/>
    <w:rsid w:val="00512A3B"/>
    <w:rsid w:val="005325B3"/>
    <w:rsid w:val="00535CC5"/>
    <w:rsid w:val="00545095"/>
    <w:rsid w:val="00547BE0"/>
    <w:rsid w:val="00554612"/>
    <w:rsid w:val="005562E5"/>
    <w:rsid w:val="005647E4"/>
    <w:rsid w:val="005909B5"/>
    <w:rsid w:val="005D279F"/>
    <w:rsid w:val="005D65D6"/>
    <w:rsid w:val="005E3CE3"/>
    <w:rsid w:val="00616381"/>
    <w:rsid w:val="006232D3"/>
    <w:rsid w:val="00631993"/>
    <w:rsid w:val="00645841"/>
    <w:rsid w:val="00677D2A"/>
    <w:rsid w:val="006926C8"/>
    <w:rsid w:val="00692DE8"/>
    <w:rsid w:val="006C0A08"/>
    <w:rsid w:val="006C4C86"/>
    <w:rsid w:val="006C605F"/>
    <w:rsid w:val="006C650A"/>
    <w:rsid w:val="006E6E19"/>
    <w:rsid w:val="0070724C"/>
    <w:rsid w:val="00711359"/>
    <w:rsid w:val="00771484"/>
    <w:rsid w:val="00792603"/>
    <w:rsid w:val="0079603F"/>
    <w:rsid w:val="007B3DB9"/>
    <w:rsid w:val="007B628B"/>
    <w:rsid w:val="007D2310"/>
    <w:rsid w:val="007E39C2"/>
    <w:rsid w:val="007F0977"/>
    <w:rsid w:val="007F0E7B"/>
    <w:rsid w:val="007F74D3"/>
    <w:rsid w:val="00841EED"/>
    <w:rsid w:val="00860F20"/>
    <w:rsid w:val="0086613C"/>
    <w:rsid w:val="008750C0"/>
    <w:rsid w:val="00876BB0"/>
    <w:rsid w:val="00880795"/>
    <w:rsid w:val="008915B2"/>
    <w:rsid w:val="00892FD5"/>
    <w:rsid w:val="008A1FB3"/>
    <w:rsid w:val="008A3229"/>
    <w:rsid w:val="008A7C97"/>
    <w:rsid w:val="008B2408"/>
    <w:rsid w:val="008B3E6B"/>
    <w:rsid w:val="008B7E1B"/>
    <w:rsid w:val="008C2E6D"/>
    <w:rsid w:val="008C38B7"/>
    <w:rsid w:val="008C5DDB"/>
    <w:rsid w:val="008D550E"/>
    <w:rsid w:val="008D5764"/>
    <w:rsid w:val="008D6E56"/>
    <w:rsid w:val="008E1EA6"/>
    <w:rsid w:val="008F21AE"/>
    <w:rsid w:val="009014B6"/>
    <w:rsid w:val="009036E5"/>
    <w:rsid w:val="009152DA"/>
    <w:rsid w:val="009443E8"/>
    <w:rsid w:val="009559A9"/>
    <w:rsid w:val="0095723C"/>
    <w:rsid w:val="00963A60"/>
    <w:rsid w:val="009B385B"/>
    <w:rsid w:val="009B6AA5"/>
    <w:rsid w:val="009B7371"/>
    <w:rsid w:val="009C529A"/>
    <w:rsid w:val="009F0E98"/>
    <w:rsid w:val="009F6877"/>
    <w:rsid w:val="00A05EC1"/>
    <w:rsid w:val="00A173A3"/>
    <w:rsid w:val="00A372E0"/>
    <w:rsid w:val="00A504C1"/>
    <w:rsid w:val="00A53760"/>
    <w:rsid w:val="00A53D1C"/>
    <w:rsid w:val="00A56D02"/>
    <w:rsid w:val="00A70103"/>
    <w:rsid w:val="00A82213"/>
    <w:rsid w:val="00A93F39"/>
    <w:rsid w:val="00AA4428"/>
    <w:rsid w:val="00AA508A"/>
    <w:rsid w:val="00AC4A98"/>
    <w:rsid w:val="00AE06FC"/>
    <w:rsid w:val="00AE241D"/>
    <w:rsid w:val="00AE4BB5"/>
    <w:rsid w:val="00B06189"/>
    <w:rsid w:val="00B25FDA"/>
    <w:rsid w:val="00B30A8D"/>
    <w:rsid w:val="00B32242"/>
    <w:rsid w:val="00B3261B"/>
    <w:rsid w:val="00B34416"/>
    <w:rsid w:val="00B366B0"/>
    <w:rsid w:val="00B41DCF"/>
    <w:rsid w:val="00B4497F"/>
    <w:rsid w:val="00B455D2"/>
    <w:rsid w:val="00B53385"/>
    <w:rsid w:val="00B56B39"/>
    <w:rsid w:val="00B63FBC"/>
    <w:rsid w:val="00B74AD1"/>
    <w:rsid w:val="00B91B79"/>
    <w:rsid w:val="00BB59F7"/>
    <w:rsid w:val="00BD64B9"/>
    <w:rsid w:val="00BD6B4E"/>
    <w:rsid w:val="00BE06CC"/>
    <w:rsid w:val="00BE45DA"/>
    <w:rsid w:val="00BE5B0E"/>
    <w:rsid w:val="00BE6694"/>
    <w:rsid w:val="00BF428F"/>
    <w:rsid w:val="00C3559C"/>
    <w:rsid w:val="00C41D70"/>
    <w:rsid w:val="00C53212"/>
    <w:rsid w:val="00C67096"/>
    <w:rsid w:val="00C739AA"/>
    <w:rsid w:val="00C80CB7"/>
    <w:rsid w:val="00C813C0"/>
    <w:rsid w:val="00C8786A"/>
    <w:rsid w:val="00C90FE6"/>
    <w:rsid w:val="00C93EA8"/>
    <w:rsid w:val="00CB5C2D"/>
    <w:rsid w:val="00CC71D8"/>
    <w:rsid w:val="00CD7E8A"/>
    <w:rsid w:val="00CE2333"/>
    <w:rsid w:val="00D02640"/>
    <w:rsid w:val="00D1315A"/>
    <w:rsid w:val="00D13EBB"/>
    <w:rsid w:val="00D142CB"/>
    <w:rsid w:val="00D15235"/>
    <w:rsid w:val="00D26385"/>
    <w:rsid w:val="00D42416"/>
    <w:rsid w:val="00D5457C"/>
    <w:rsid w:val="00D64427"/>
    <w:rsid w:val="00D71B88"/>
    <w:rsid w:val="00D86B07"/>
    <w:rsid w:val="00D93979"/>
    <w:rsid w:val="00DC127B"/>
    <w:rsid w:val="00DD0A4A"/>
    <w:rsid w:val="00E1065F"/>
    <w:rsid w:val="00E160EF"/>
    <w:rsid w:val="00E61E97"/>
    <w:rsid w:val="00E76989"/>
    <w:rsid w:val="00E8292F"/>
    <w:rsid w:val="00E8319A"/>
    <w:rsid w:val="00E84295"/>
    <w:rsid w:val="00E8683C"/>
    <w:rsid w:val="00EA3A22"/>
    <w:rsid w:val="00EB5A48"/>
    <w:rsid w:val="00EE2C3C"/>
    <w:rsid w:val="00F0670D"/>
    <w:rsid w:val="00F117DA"/>
    <w:rsid w:val="00F12A86"/>
    <w:rsid w:val="00F15381"/>
    <w:rsid w:val="00F25869"/>
    <w:rsid w:val="00F27211"/>
    <w:rsid w:val="00F32921"/>
    <w:rsid w:val="00F717C5"/>
    <w:rsid w:val="00F750AB"/>
    <w:rsid w:val="00F753F3"/>
    <w:rsid w:val="00F841B1"/>
    <w:rsid w:val="00F858FB"/>
    <w:rsid w:val="00FA06EF"/>
    <w:rsid w:val="00FA30DC"/>
    <w:rsid w:val="00FB044F"/>
    <w:rsid w:val="00FB1045"/>
    <w:rsid w:val="00FB648B"/>
    <w:rsid w:val="00FD4A4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qFormat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6C60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6C605F"/>
  </w:style>
  <w:style w:type="character" w:customStyle="1" w:styleId="eop">
    <w:name w:val="eop"/>
    <w:basedOn w:val="Fuentedeprrafopredeter"/>
    <w:rsid w:val="006C605F"/>
  </w:style>
  <w:style w:type="character" w:styleId="Mencinsinresolver">
    <w:name w:val="Unresolved Mention"/>
    <w:basedOn w:val="Fuentedeprrafopredeter"/>
    <w:uiPriority w:val="99"/>
    <w:semiHidden/>
    <w:unhideWhenUsed/>
    <w:rsid w:val="00C8786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6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B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B4E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B4E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D001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1">
              <a:lumMod val="50000"/>
              <a:lumOff val="50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9E582DEE69244A9849AF4EF7585F1" ma:contentTypeVersion="13" ma:contentTypeDescription="Crear nuevo documento." ma:contentTypeScope="" ma:versionID="a8c6d08bc5b448c56a2b0937f6be0f76">
  <xsd:schema xmlns:xsd="http://www.w3.org/2001/XMLSchema" xmlns:xs="http://www.w3.org/2001/XMLSchema" xmlns:p="http://schemas.microsoft.com/office/2006/metadata/properties" xmlns:ns2="a25d1351-4ae6-4ea3-816d-b7208937a0d7" xmlns:ns3="7f2b156f-028c-496d-8b51-ac6e6ae7a1b8" targetNamespace="http://schemas.microsoft.com/office/2006/metadata/properties" ma:root="true" ma:fieldsID="dc0cdcff2f7942cb55cc495bc343a536" ns2:_="" ns3:_="">
    <xsd:import namespace="a25d1351-4ae6-4ea3-816d-b7208937a0d7"/>
    <xsd:import namespace="7f2b156f-028c-496d-8b51-ac6e6ae7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d1351-4ae6-4ea3-816d-b7208937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156f-028c-496d-8b51-ac6e6ae7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1AD12-8168-4396-A602-43081D90B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AC086-7621-47DD-9413-F34A970CC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1B4E1-4D6C-47EE-9B63-10DDBC467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d1351-4ae6-4ea3-816d-b7208937a0d7"/>
    <ds:schemaRef ds:uri="7f2b156f-028c-496d-8b51-ac6e6ae7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F003C-3EA2-4E3A-BAEF-2B392A6E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Javier D. Bazaga</cp:lastModifiedBy>
  <cp:revision>36</cp:revision>
  <cp:lastPrinted>2024-03-19T09:43:00Z</cp:lastPrinted>
  <dcterms:created xsi:type="dcterms:W3CDTF">2022-07-05T08:50:00Z</dcterms:created>
  <dcterms:modified xsi:type="dcterms:W3CDTF">2024-03-20T10:00:00Z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2022-04-21T08:04:19Z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fcd50971-c163-4a99-b940-1059059b720a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0x0101006B19E582DEE69244A9849AF4EF7585F1</vt:lpwstr>
  </property>
</Properties>
</file>