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62704" w14:textId="77777777" w:rsidR="00460EEF" w:rsidRPr="00460EEF" w:rsidRDefault="00460EEF" w:rsidP="00460EEF">
      <w:pPr>
        <w:ind w:left="-426"/>
        <w:rPr>
          <w:rFonts w:ascii="Arial" w:hAnsi="Arial" w:cs="Arial"/>
          <w:b/>
          <w:i/>
          <w:noProof/>
          <w:color w:val="404040" w:themeColor="text1" w:themeTint="BF"/>
          <w:sz w:val="22"/>
          <w:szCs w:val="22"/>
          <w:lang w:val="es-ES"/>
        </w:rPr>
      </w:pPr>
    </w:p>
    <w:p w14:paraId="7013BE0F" w14:textId="77777777" w:rsidR="00892FD5" w:rsidRPr="00460EEF" w:rsidRDefault="00892FD5" w:rsidP="00892FD5">
      <w:pPr>
        <w:ind w:left="-426"/>
        <w:jc w:val="both"/>
        <w:rPr>
          <w:rFonts w:ascii="Arial" w:hAnsi="Arial" w:cs="Arial"/>
          <w:b/>
          <w:i/>
          <w:noProof/>
          <w:color w:val="404040" w:themeColor="text1" w:themeTint="BF"/>
          <w:sz w:val="22"/>
          <w:szCs w:val="22"/>
          <w:lang w:val="es-ES"/>
        </w:rPr>
      </w:pPr>
    </w:p>
    <w:p w14:paraId="406F3E29" w14:textId="1A60C4BD" w:rsidR="00892FD5" w:rsidRPr="00A40F19" w:rsidRDefault="00460EEF" w:rsidP="00892FD5">
      <w:pPr>
        <w:ind w:left="-426"/>
        <w:jc w:val="both"/>
        <w:rPr>
          <w:rFonts w:ascii="Arial" w:hAnsi="Arial" w:cs="Arial"/>
          <w:b/>
          <w:i/>
          <w:color w:val="008DDC"/>
          <w:sz w:val="32"/>
          <w:szCs w:val="32"/>
          <w:lang w:val="ca-ES"/>
        </w:rPr>
      </w:pPr>
      <w:proofErr w:type="spellStart"/>
      <w:r w:rsidRPr="00A40F19">
        <w:rPr>
          <w:rFonts w:ascii="Arial" w:hAnsi="Arial" w:cs="Arial"/>
          <w:b/>
          <w:i/>
          <w:iCs/>
          <w:color w:val="009FEA"/>
          <w:sz w:val="32"/>
          <w:szCs w:val="32"/>
          <w:lang w:val="ca-ES"/>
        </w:rPr>
        <w:t>CaixaBank</w:t>
      </w:r>
      <w:proofErr w:type="spellEnd"/>
      <w:r w:rsidR="0010672E" w:rsidRPr="00A40F19">
        <w:rPr>
          <w:rFonts w:ascii="Arial" w:hAnsi="Arial" w:cs="Arial"/>
          <w:b/>
          <w:i/>
          <w:iCs/>
          <w:color w:val="009FEA"/>
          <w:sz w:val="32"/>
          <w:szCs w:val="32"/>
          <w:lang w:val="ca-ES"/>
        </w:rPr>
        <w:t xml:space="preserve"> ref</w:t>
      </w:r>
      <w:r w:rsidR="00A40F19" w:rsidRPr="00A40F19">
        <w:rPr>
          <w:rFonts w:ascii="Arial" w:hAnsi="Arial" w:cs="Arial"/>
          <w:b/>
          <w:i/>
          <w:iCs/>
          <w:color w:val="009FEA"/>
          <w:sz w:val="32"/>
          <w:szCs w:val="32"/>
          <w:lang w:val="ca-ES"/>
        </w:rPr>
        <w:t xml:space="preserve">orça el seu compromís amb la inversió responsable amb la màxima qualificació </w:t>
      </w:r>
      <w:r w:rsidRPr="00A40F19">
        <w:rPr>
          <w:rFonts w:ascii="Arial" w:hAnsi="Arial" w:cs="Arial"/>
          <w:b/>
          <w:i/>
          <w:iCs/>
          <w:color w:val="009FEA"/>
          <w:sz w:val="32"/>
          <w:szCs w:val="32"/>
          <w:lang w:val="ca-ES"/>
        </w:rPr>
        <w:t>(A+) de</w:t>
      </w:r>
      <w:r w:rsidR="0010672E" w:rsidRPr="00A40F19">
        <w:rPr>
          <w:rFonts w:ascii="Arial" w:hAnsi="Arial" w:cs="Arial"/>
          <w:b/>
          <w:i/>
          <w:iCs/>
          <w:color w:val="009FEA"/>
          <w:sz w:val="32"/>
          <w:szCs w:val="32"/>
          <w:lang w:val="ca-ES"/>
        </w:rPr>
        <w:t>l</w:t>
      </w:r>
      <w:r w:rsidRPr="00A40F19">
        <w:rPr>
          <w:rFonts w:ascii="Arial" w:hAnsi="Arial" w:cs="Arial"/>
          <w:b/>
          <w:i/>
          <w:iCs/>
          <w:color w:val="009FEA"/>
          <w:sz w:val="32"/>
          <w:szCs w:val="32"/>
          <w:lang w:val="ca-ES"/>
        </w:rPr>
        <w:t xml:space="preserve"> PRI</w:t>
      </w:r>
      <w:r w:rsidR="00892FD5" w:rsidRPr="00A40F19">
        <w:rPr>
          <w:rFonts w:ascii="Arial" w:hAnsi="Arial" w:cs="Arial"/>
          <w:b/>
          <w:i/>
          <w:iCs/>
          <w:color w:val="009FEA"/>
          <w:sz w:val="32"/>
          <w:szCs w:val="32"/>
          <w:lang w:val="ca-ES"/>
        </w:rPr>
        <w:t xml:space="preserve"> </w:t>
      </w:r>
    </w:p>
    <w:p w14:paraId="06B0765A" w14:textId="77777777" w:rsidR="00892FD5" w:rsidRPr="00A40F19" w:rsidRDefault="00892FD5" w:rsidP="00892FD5">
      <w:pPr>
        <w:jc w:val="both"/>
        <w:rPr>
          <w:lang w:val="ca-ES"/>
        </w:rPr>
      </w:pPr>
    </w:p>
    <w:p w14:paraId="3AB90ACD" w14:textId="77777777" w:rsidR="00892FD5" w:rsidRPr="00A40F19" w:rsidRDefault="00892FD5" w:rsidP="00892FD5">
      <w:pPr>
        <w:pStyle w:val="Prrafobsico"/>
        <w:suppressAutoHyphens/>
        <w:jc w:val="both"/>
        <w:rPr>
          <w:rFonts w:ascii="Arial" w:hAnsi="Arial" w:cs="Arial"/>
          <w:b/>
          <w:bCs/>
          <w:lang w:val="ca-ES"/>
        </w:rPr>
      </w:pPr>
    </w:p>
    <w:p w14:paraId="3DA1E89B" w14:textId="10491A71" w:rsidR="00A40F19" w:rsidRDefault="00460EEF" w:rsidP="000323CE">
      <w:pPr>
        <w:pStyle w:val="Prrafobsico"/>
        <w:numPr>
          <w:ilvl w:val="0"/>
          <w:numId w:val="2"/>
        </w:numPr>
        <w:suppressAutoHyphens/>
        <w:spacing w:line="276" w:lineRule="auto"/>
        <w:ind w:left="0"/>
        <w:jc w:val="both"/>
        <w:rPr>
          <w:rFonts w:ascii="Arial" w:hAnsi="Arial" w:cs="Arial"/>
          <w:b/>
          <w:i/>
          <w:iCs/>
          <w:lang w:val="ca-ES"/>
        </w:rPr>
      </w:pPr>
      <w:proofErr w:type="spellStart"/>
      <w:r w:rsidRPr="00A40F19">
        <w:rPr>
          <w:rFonts w:ascii="Arial" w:hAnsi="Arial" w:cs="Arial"/>
          <w:b/>
          <w:i/>
          <w:iCs/>
          <w:lang w:val="ca-ES"/>
        </w:rPr>
        <w:t>VidaCaixa</w:t>
      </w:r>
      <w:proofErr w:type="spellEnd"/>
      <w:r w:rsidRPr="00A40F19">
        <w:rPr>
          <w:rFonts w:ascii="Arial" w:hAnsi="Arial" w:cs="Arial"/>
          <w:b/>
          <w:i/>
          <w:iCs/>
          <w:lang w:val="ca-ES"/>
        </w:rPr>
        <w:t xml:space="preserve"> </w:t>
      </w:r>
      <w:r w:rsidR="00A40F19" w:rsidRPr="00A40F19">
        <w:rPr>
          <w:rFonts w:ascii="Arial" w:hAnsi="Arial" w:cs="Arial"/>
          <w:b/>
          <w:i/>
          <w:iCs/>
          <w:lang w:val="ca-ES"/>
        </w:rPr>
        <w:t>i</w:t>
      </w:r>
      <w:r w:rsidRPr="00A40F19">
        <w:rPr>
          <w:rFonts w:ascii="Arial" w:hAnsi="Arial" w:cs="Arial"/>
          <w:b/>
          <w:i/>
          <w:iCs/>
          <w:lang w:val="ca-ES"/>
        </w:rPr>
        <w:t xml:space="preserve"> </w:t>
      </w:r>
      <w:proofErr w:type="spellStart"/>
      <w:r w:rsidRPr="00A40F19">
        <w:rPr>
          <w:rFonts w:ascii="Arial" w:hAnsi="Arial" w:cs="Arial"/>
          <w:b/>
          <w:i/>
          <w:iCs/>
          <w:lang w:val="ca-ES"/>
        </w:rPr>
        <w:t>CaixaBank</w:t>
      </w:r>
      <w:proofErr w:type="spellEnd"/>
      <w:r w:rsidRPr="00A40F19">
        <w:rPr>
          <w:rFonts w:ascii="Arial" w:hAnsi="Arial" w:cs="Arial"/>
          <w:b/>
          <w:i/>
          <w:iCs/>
          <w:lang w:val="ca-ES"/>
        </w:rPr>
        <w:t xml:space="preserve"> </w:t>
      </w:r>
      <w:proofErr w:type="spellStart"/>
      <w:r w:rsidRPr="00A40F19">
        <w:rPr>
          <w:rFonts w:ascii="Arial" w:hAnsi="Arial" w:cs="Arial"/>
          <w:b/>
          <w:i/>
          <w:iCs/>
          <w:lang w:val="ca-ES"/>
        </w:rPr>
        <w:t>Asset</w:t>
      </w:r>
      <w:proofErr w:type="spellEnd"/>
      <w:r w:rsidRPr="00A40F19">
        <w:rPr>
          <w:rFonts w:ascii="Arial" w:hAnsi="Arial" w:cs="Arial"/>
          <w:b/>
          <w:i/>
          <w:iCs/>
          <w:lang w:val="ca-ES"/>
        </w:rPr>
        <w:t xml:space="preserve"> Management revalid</w:t>
      </w:r>
      <w:r w:rsidR="00A40F19" w:rsidRPr="00A40F19">
        <w:rPr>
          <w:rFonts w:ascii="Arial" w:hAnsi="Arial" w:cs="Arial"/>
          <w:b/>
          <w:i/>
          <w:iCs/>
          <w:lang w:val="ca-ES"/>
        </w:rPr>
        <w:t>en la seva qualificació A+ per la seva gestió destacada en Estratègia i Bon Govern.</w:t>
      </w:r>
      <w:r w:rsidRPr="00A40F19">
        <w:rPr>
          <w:rFonts w:ascii="Arial" w:hAnsi="Arial" w:cs="Arial"/>
          <w:b/>
          <w:i/>
          <w:iCs/>
          <w:lang w:val="ca-ES"/>
        </w:rPr>
        <w:t xml:space="preserve"> </w:t>
      </w:r>
      <w:r w:rsidR="00C86426" w:rsidRPr="00A40F19">
        <w:rPr>
          <w:rFonts w:ascii="Arial" w:hAnsi="Arial" w:cs="Arial"/>
          <w:b/>
          <w:i/>
          <w:iCs/>
          <w:lang w:val="ca-ES"/>
        </w:rPr>
        <w:t xml:space="preserve">BPI </w:t>
      </w:r>
      <w:proofErr w:type="spellStart"/>
      <w:r w:rsidR="00C86426" w:rsidRPr="00A40F19">
        <w:rPr>
          <w:rFonts w:ascii="Arial" w:hAnsi="Arial" w:cs="Arial"/>
          <w:b/>
          <w:i/>
          <w:iCs/>
          <w:lang w:val="ca-ES"/>
        </w:rPr>
        <w:t>Gestão</w:t>
      </w:r>
      <w:proofErr w:type="spellEnd"/>
      <w:r w:rsidR="00C86426" w:rsidRPr="00A40F19">
        <w:rPr>
          <w:rFonts w:ascii="Arial" w:hAnsi="Arial" w:cs="Arial"/>
          <w:b/>
          <w:i/>
          <w:iCs/>
          <w:lang w:val="ca-ES"/>
        </w:rPr>
        <w:t xml:space="preserve"> de </w:t>
      </w:r>
      <w:proofErr w:type="spellStart"/>
      <w:r w:rsidR="00C86426" w:rsidRPr="00A40F19">
        <w:rPr>
          <w:rFonts w:ascii="Arial" w:hAnsi="Arial" w:cs="Arial"/>
          <w:b/>
          <w:i/>
          <w:iCs/>
          <w:lang w:val="ca-ES"/>
        </w:rPr>
        <w:t>Activos</w:t>
      </w:r>
      <w:proofErr w:type="spellEnd"/>
      <w:r w:rsidR="00C86426" w:rsidRPr="00A40F19">
        <w:rPr>
          <w:rFonts w:ascii="Arial" w:hAnsi="Arial" w:cs="Arial"/>
          <w:b/>
          <w:i/>
          <w:iCs/>
          <w:lang w:val="ca-ES"/>
        </w:rPr>
        <w:t xml:space="preserve">, por </w:t>
      </w:r>
      <w:r w:rsidR="00A40F19">
        <w:rPr>
          <w:rFonts w:ascii="Arial" w:hAnsi="Arial" w:cs="Arial"/>
          <w:b/>
          <w:i/>
          <w:iCs/>
          <w:lang w:val="ca-ES"/>
        </w:rPr>
        <w:t xml:space="preserve">la seva banda, obté la mateixa qualificació, per primera vegada, després de </w:t>
      </w:r>
      <w:r w:rsidR="002D7142">
        <w:rPr>
          <w:rFonts w:ascii="Arial" w:hAnsi="Arial" w:cs="Arial"/>
          <w:b/>
          <w:i/>
          <w:iCs/>
          <w:lang w:val="ca-ES"/>
        </w:rPr>
        <w:t>signar</w:t>
      </w:r>
      <w:r w:rsidR="00A40F19">
        <w:rPr>
          <w:rFonts w:ascii="Arial" w:hAnsi="Arial" w:cs="Arial"/>
          <w:b/>
          <w:i/>
          <w:iCs/>
          <w:lang w:val="ca-ES"/>
        </w:rPr>
        <w:t xml:space="preserve"> els PRI l’abril del 2019.</w:t>
      </w:r>
    </w:p>
    <w:p w14:paraId="1D0A8C58" w14:textId="77777777" w:rsidR="00460EEF" w:rsidRPr="00A40F19" w:rsidRDefault="00460EEF" w:rsidP="00460EEF">
      <w:pPr>
        <w:pStyle w:val="Prrafobsico"/>
        <w:suppressAutoHyphens/>
        <w:spacing w:line="276" w:lineRule="auto"/>
        <w:jc w:val="both"/>
        <w:rPr>
          <w:rFonts w:ascii="Arial" w:hAnsi="Arial" w:cs="Arial"/>
          <w:b/>
          <w:i/>
          <w:iCs/>
          <w:lang w:val="ca-ES"/>
        </w:rPr>
      </w:pPr>
    </w:p>
    <w:p w14:paraId="0AAF0932" w14:textId="1C52D9A5" w:rsidR="00A40F19" w:rsidRPr="00A40F19" w:rsidRDefault="00A40F19" w:rsidP="007A5F2C">
      <w:pPr>
        <w:pStyle w:val="Pargrafdellista"/>
        <w:numPr>
          <w:ilvl w:val="0"/>
          <w:numId w:val="2"/>
        </w:numPr>
        <w:suppressAutoHyphens/>
        <w:spacing w:line="276" w:lineRule="auto"/>
        <w:ind w:left="0"/>
        <w:jc w:val="both"/>
        <w:rPr>
          <w:rFonts w:ascii="Arial" w:hAnsi="Arial" w:cs="Arial"/>
          <w:b/>
          <w:i/>
          <w:iCs/>
          <w:lang w:val="ca-ES"/>
        </w:rPr>
      </w:pPr>
      <w:r>
        <w:rPr>
          <w:rFonts w:ascii="Arial" w:hAnsi="Arial" w:cs="Arial"/>
          <w:b/>
          <w:i/>
          <w:iCs/>
          <w:color w:val="000000"/>
          <w:lang w:val="ca-ES"/>
        </w:rPr>
        <w:t xml:space="preserve">Es tracta de la nota més alta que atorga l’organisme PRI, recolzat per les Nacions Unides, només assolida per un terç dels </w:t>
      </w:r>
      <w:r w:rsidR="002D7142">
        <w:rPr>
          <w:rFonts w:ascii="Arial" w:hAnsi="Arial" w:cs="Arial"/>
          <w:b/>
          <w:i/>
          <w:iCs/>
          <w:color w:val="000000"/>
          <w:lang w:val="ca-ES"/>
        </w:rPr>
        <w:t>signants</w:t>
      </w:r>
      <w:r>
        <w:rPr>
          <w:rFonts w:ascii="Arial" w:hAnsi="Arial" w:cs="Arial"/>
          <w:b/>
          <w:i/>
          <w:iCs/>
          <w:color w:val="000000"/>
          <w:lang w:val="ca-ES"/>
        </w:rPr>
        <w:t xml:space="preserve"> dels principis en el món i per menys del 10% dels </w:t>
      </w:r>
      <w:r w:rsidR="002D7142">
        <w:rPr>
          <w:rFonts w:ascii="Arial" w:hAnsi="Arial" w:cs="Arial"/>
          <w:b/>
          <w:i/>
          <w:iCs/>
          <w:color w:val="000000"/>
          <w:lang w:val="ca-ES"/>
        </w:rPr>
        <w:t>signants</w:t>
      </w:r>
      <w:r>
        <w:rPr>
          <w:rFonts w:ascii="Arial" w:hAnsi="Arial" w:cs="Arial"/>
          <w:b/>
          <w:i/>
          <w:iCs/>
          <w:color w:val="000000"/>
          <w:lang w:val="ca-ES"/>
        </w:rPr>
        <w:t xml:space="preserve"> el 2019.</w:t>
      </w:r>
    </w:p>
    <w:p w14:paraId="780068C6" w14:textId="77777777" w:rsidR="00A40F19" w:rsidRPr="00A40F19" w:rsidRDefault="00A40F19" w:rsidP="00A40F19">
      <w:pPr>
        <w:pStyle w:val="Pargrafdellista"/>
        <w:rPr>
          <w:rFonts w:ascii="Arial" w:hAnsi="Arial" w:cs="Arial"/>
          <w:b/>
          <w:i/>
          <w:iCs/>
          <w:color w:val="000000"/>
          <w:lang w:val="ca-ES"/>
        </w:rPr>
      </w:pPr>
    </w:p>
    <w:p w14:paraId="37776675" w14:textId="1A599157" w:rsidR="00A40F19" w:rsidRDefault="007A5F2C" w:rsidP="007A5F2C">
      <w:pPr>
        <w:pStyle w:val="Pargrafdellista"/>
        <w:numPr>
          <w:ilvl w:val="0"/>
          <w:numId w:val="2"/>
        </w:numPr>
        <w:suppressAutoHyphens/>
        <w:spacing w:line="276" w:lineRule="auto"/>
        <w:ind w:left="0"/>
        <w:jc w:val="both"/>
        <w:rPr>
          <w:rFonts w:ascii="Arial" w:hAnsi="Arial" w:cs="Arial"/>
          <w:b/>
          <w:i/>
          <w:iCs/>
          <w:lang w:val="ca-ES"/>
        </w:rPr>
      </w:pPr>
      <w:proofErr w:type="spellStart"/>
      <w:r w:rsidRPr="00A40F19">
        <w:rPr>
          <w:rFonts w:ascii="Arial" w:hAnsi="Arial" w:cs="Arial"/>
          <w:b/>
          <w:i/>
          <w:iCs/>
          <w:color w:val="000000"/>
          <w:lang w:val="ca-ES"/>
        </w:rPr>
        <w:t>CaixaBank</w:t>
      </w:r>
      <w:proofErr w:type="spellEnd"/>
      <w:r w:rsidRPr="00A40F19">
        <w:rPr>
          <w:rFonts w:ascii="Arial" w:hAnsi="Arial" w:cs="Arial"/>
          <w:b/>
          <w:i/>
          <w:iCs/>
          <w:color w:val="000000"/>
          <w:lang w:val="ca-ES"/>
        </w:rPr>
        <w:t xml:space="preserve"> </w:t>
      </w:r>
      <w:r w:rsidR="00A40F19">
        <w:rPr>
          <w:rFonts w:ascii="Arial" w:hAnsi="Arial" w:cs="Arial"/>
          <w:b/>
          <w:i/>
          <w:iCs/>
          <w:lang w:val="ca-ES"/>
        </w:rPr>
        <w:t>està compromesa amb la inversió responsable, entesa com aquella que no només ofereix rendibilitat econòmica per als inversors, sinó que també promou una gestió coherents amb la creació de valor per a tota la societat. El 2019, es va registrar un increment del 501% dels saldos mitjans dels clients de Banca Privada</w:t>
      </w:r>
      <w:r w:rsidR="002827AD">
        <w:rPr>
          <w:rFonts w:ascii="Arial" w:hAnsi="Arial" w:cs="Arial"/>
          <w:b/>
          <w:i/>
          <w:iCs/>
          <w:lang w:val="ca-ES"/>
        </w:rPr>
        <w:t xml:space="preserve"> en fons d’inversió socialment responsable (ISR).</w:t>
      </w:r>
    </w:p>
    <w:p w14:paraId="0D9F6398" w14:textId="77777777" w:rsidR="00356812" w:rsidRPr="00356812" w:rsidRDefault="00356812" w:rsidP="00356812">
      <w:pPr>
        <w:pStyle w:val="Pargrafdellista"/>
        <w:suppressAutoHyphens/>
        <w:spacing w:line="276" w:lineRule="auto"/>
        <w:ind w:left="0"/>
        <w:jc w:val="both"/>
        <w:rPr>
          <w:rFonts w:ascii="Arial" w:hAnsi="Arial" w:cs="Arial"/>
          <w:b/>
          <w:i/>
          <w:iCs/>
          <w:lang w:val="es-ES"/>
        </w:rPr>
      </w:pPr>
    </w:p>
    <w:p w14:paraId="36BC857A" w14:textId="77777777" w:rsidR="00101BDD" w:rsidRPr="00B3261B" w:rsidRDefault="00101BDD" w:rsidP="00101BDD">
      <w:pPr>
        <w:pStyle w:val="Prrafobsico"/>
        <w:suppressAutoHyphens/>
        <w:jc w:val="both"/>
        <w:rPr>
          <w:rFonts w:ascii="Arial" w:hAnsi="Arial" w:cs="Arial"/>
          <w:b/>
          <w:bCs/>
          <w:lang w:val="es-ES"/>
        </w:rPr>
      </w:pPr>
    </w:p>
    <w:p w14:paraId="79596931" w14:textId="1AD82779" w:rsidR="008E1EA6" w:rsidRPr="002D7142" w:rsidRDefault="00356812" w:rsidP="008E1EA6">
      <w:pPr>
        <w:pStyle w:val="Prrafobsico"/>
        <w:suppressAutoHyphens/>
        <w:spacing w:line="360" w:lineRule="auto"/>
        <w:ind w:left="-425"/>
        <w:jc w:val="both"/>
        <w:rPr>
          <w:rFonts w:ascii="Arial" w:hAnsi="Arial" w:cs="Arial"/>
          <w:b/>
          <w:bCs/>
          <w:sz w:val="22"/>
          <w:szCs w:val="22"/>
          <w:lang w:val="ca-ES"/>
        </w:rPr>
      </w:pPr>
      <w:r w:rsidRPr="002D7142">
        <w:rPr>
          <w:rFonts w:ascii="Arial" w:hAnsi="Arial" w:cs="Arial"/>
          <w:b/>
          <w:bCs/>
          <w:sz w:val="22"/>
          <w:szCs w:val="22"/>
          <w:lang w:val="ca-ES"/>
        </w:rPr>
        <w:t>Barcelona, 27 d</w:t>
      </w:r>
      <w:r w:rsidR="002827AD" w:rsidRPr="002D7142">
        <w:rPr>
          <w:rFonts w:ascii="Arial" w:hAnsi="Arial" w:cs="Arial"/>
          <w:b/>
          <w:bCs/>
          <w:sz w:val="22"/>
          <w:szCs w:val="22"/>
          <w:lang w:val="ca-ES"/>
        </w:rPr>
        <w:t>’agost del</w:t>
      </w:r>
      <w:r w:rsidRPr="002D7142">
        <w:rPr>
          <w:rFonts w:ascii="Arial" w:hAnsi="Arial" w:cs="Arial"/>
          <w:b/>
          <w:bCs/>
          <w:sz w:val="22"/>
          <w:szCs w:val="22"/>
          <w:lang w:val="ca-ES"/>
        </w:rPr>
        <w:t xml:space="preserve"> 2020 </w:t>
      </w:r>
    </w:p>
    <w:p w14:paraId="6B2F4EFC" w14:textId="5BBBF5CF" w:rsidR="002827AD" w:rsidRPr="002D7142" w:rsidRDefault="00356812" w:rsidP="008E1EA6">
      <w:pPr>
        <w:pStyle w:val="Prrafobsico"/>
        <w:suppressAutoHyphens/>
        <w:spacing w:before="227" w:line="276" w:lineRule="auto"/>
        <w:ind w:left="-426"/>
        <w:jc w:val="both"/>
        <w:rPr>
          <w:rFonts w:ascii="Arial" w:hAnsi="Arial" w:cs="Arial"/>
          <w:sz w:val="22"/>
          <w:szCs w:val="22"/>
          <w:lang w:val="ca-ES"/>
        </w:rPr>
      </w:pPr>
      <w:proofErr w:type="spellStart"/>
      <w:r w:rsidRPr="002D7142">
        <w:rPr>
          <w:rFonts w:ascii="Arial" w:hAnsi="Arial" w:cs="Arial"/>
          <w:sz w:val="22"/>
          <w:szCs w:val="22"/>
          <w:lang w:val="ca-ES"/>
        </w:rPr>
        <w:t>CaixaBank</w:t>
      </w:r>
      <w:proofErr w:type="spellEnd"/>
      <w:r w:rsidRPr="002D7142">
        <w:rPr>
          <w:rFonts w:ascii="Arial" w:hAnsi="Arial" w:cs="Arial"/>
          <w:sz w:val="22"/>
          <w:szCs w:val="22"/>
          <w:lang w:val="ca-ES"/>
        </w:rPr>
        <w:t xml:space="preserve">, a través de </w:t>
      </w:r>
      <w:r w:rsidR="002827AD" w:rsidRPr="002D7142">
        <w:rPr>
          <w:rFonts w:ascii="Arial" w:hAnsi="Arial" w:cs="Arial"/>
          <w:sz w:val="22"/>
          <w:szCs w:val="22"/>
          <w:lang w:val="ca-ES"/>
        </w:rPr>
        <w:t>les seves filials</w:t>
      </w:r>
      <w:r w:rsidRPr="002D7142">
        <w:rPr>
          <w:rFonts w:ascii="Arial" w:hAnsi="Arial" w:cs="Arial"/>
          <w:sz w:val="22"/>
          <w:szCs w:val="22"/>
          <w:lang w:val="ca-ES"/>
        </w:rPr>
        <w:t xml:space="preserve"> </w:t>
      </w:r>
      <w:proofErr w:type="spellStart"/>
      <w:r w:rsidRPr="002D7142">
        <w:rPr>
          <w:rFonts w:ascii="Arial" w:hAnsi="Arial" w:cs="Arial"/>
          <w:sz w:val="22"/>
          <w:szCs w:val="22"/>
          <w:lang w:val="ca-ES"/>
        </w:rPr>
        <w:t>VidaCaixa</w:t>
      </w:r>
      <w:proofErr w:type="spellEnd"/>
      <w:r w:rsidR="002827AD" w:rsidRPr="002D7142">
        <w:rPr>
          <w:rFonts w:ascii="Arial" w:hAnsi="Arial" w:cs="Arial"/>
          <w:sz w:val="22"/>
          <w:szCs w:val="22"/>
          <w:lang w:val="ca-ES"/>
        </w:rPr>
        <w:t xml:space="preserve"> i</w:t>
      </w:r>
      <w:r w:rsidR="008F076F" w:rsidRPr="002D7142">
        <w:rPr>
          <w:rFonts w:ascii="Arial" w:hAnsi="Arial" w:cs="Arial"/>
          <w:sz w:val="22"/>
          <w:szCs w:val="22"/>
          <w:lang w:val="ca-ES"/>
        </w:rPr>
        <w:t xml:space="preserve"> </w:t>
      </w:r>
      <w:proofErr w:type="spellStart"/>
      <w:r w:rsidRPr="002D7142">
        <w:rPr>
          <w:rFonts w:ascii="Arial" w:hAnsi="Arial" w:cs="Arial"/>
          <w:sz w:val="22"/>
          <w:szCs w:val="22"/>
          <w:lang w:val="ca-ES"/>
        </w:rPr>
        <w:t>CaixaBank</w:t>
      </w:r>
      <w:proofErr w:type="spellEnd"/>
      <w:r w:rsidRPr="002D7142">
        <w:rPr>
          <w:rFonts w:ascii="Arial" w:hAnsi="Arial" w:cs="Arial"/>
          <w:sz w:val="22"/>
          <w:szCs w:val="22"/>
          <w:lang w:val="ca-ES"/>
        </w:rPr>
        <w:t xml:space="preserve"> </w:t>
      </w:r>
      <w:proofErr w:type="spellStart"/>
      <w:r w:rsidRPr="002D7142">
        <w:rPr>
          <w:rFonts w:ascii="Arial" w:hAnsi="Arial" w:cs="Arial"/>
          <w:sz w:val="22"/>
          <w:szCs w:val="22"/>
          <w:lang w:val="ca-ES"/>
        </w:rPr>
        <w:t>Asset</w:t>
      </w:r>
      <w:proofErr w:type="spellEnd"/>
      <w:r w:rsidRPr="002D7142">
        <w:rPr>
          <w:rFonts w:ascii="Arial" w:hAnsi="Arial" w:cs="Arial"/>
          <w:sz w:val="22"/>
          <w:szCs w:val="22"/>
          <w:lang w:val="ca-ES"/>
        </w:rPr>
        <w:t xml:space="preserve"> Management, ha </w:t>
      </w:r>
      <w:r w:rsidR="002827AD" w:rsidRPr="002D7142">
        <w:rPr>
          <w:rFonts w:ascii="Arial" w:hAnsi="Arial" w:cs="Arial"/>
          <w:sz w:val="22"/>
          <w:szCs w:val="22"/>
          <w:lang w:val="ca-ES"/>
        </w:rPr>
        <w:t>revalidat la màxima qualificació (A+) en inversió responsable segons els principis PRI, una iniciativa que compta amb el suport de les Nacions Unides, en reconeixement al ferm compromís de l’entitat per donar impuls a la inversió sostenible a través de la integració de cr</w:t>
      </w:r>
      <w:r w:rsidR="002D7142">
        <w:rPr>
          <w:rFonts w:ascii="Arial" w:hAnsi="Arial" w:cs="Arial"/>
          <w:sz w:val="22"/>
          <w:szCs w:val="22"/>
          <w:lang w:val="ca-ES"/>
        </w:rPr>
        <w:t>i</w:t>
      </w:r>
      <w:r w:rsidR="002827AD" w:rsidRPr="002D7142">
        <w:rPr>
          <w:rFonts w:ascii="Arial" w:hAnsi="Arial" w:cs="Arial"/>
          <w:sz w:val="22"/>
          <w:szCs w:val="22"/>
          <w:lang w:val="ca-ES"/>
        </w:rPr>
        <w:t xml:space="preserve">teris socials, ambientals i de bon govern en les seves decisions i productes d’inversió. Per la seva part, </w:t>
      </w:r>
      <w:r w:rsidR="006E1797" w:rsidRPr="002D7142">
        <w:rPr>
          <w:rFonts w:ascii="Arial" w:hAnsi="Arial" w:cs="Arial"/>
          <w:sz w:val="22"/>
          <w:szCs w:val="22"/>
          <w:lang w:val="ca-ES"/>
        </w:rPr>
        <w:t xml:space="preserve">BPI </w:t>
      </w:r>
      <w:proofErr w:type="spellStart"/>
      <w:r w:rsidR="006E1797" w:rsidRPr="002D7142">
        <w:rPr>
          <w:rFonts w:ascii="Arial" w:hAnsi="Arial" w:cs="Arial"/>
          <w:sz w:val="22"/>
          <w:szCs w:val="22"/>
          <w:lang w:val="ca-ES"/>
        </w:rPr>
        <w:t>Gestão</w:t>
      </w:r>
      <w:proofErr w:type="spellEnd"/>
      <w:r w:rsidR="006E1797" w:rsidRPr="002D7142">
        <w:rPr>
          <w:rFonts w:ascii="Arial" w:hAnsi="Arial" w:cs="Arial"/>
          <w:sz w:val="22"/>
          <w:szCs w:val="22"/>
          <w:lang w:val="ca-ES"/>
        </w:rPr>
        <w:t xml:space="preserve"> de </w:t>
      </w:r>
      <w:proofErr w:type="spellStart"/>
      <w:r w:rsidR="006E1797" w:rsidRPr="002D7142">
        <w:rPr>
          <w:rFonts w:ascii="Arial" w:hAnsi="Arial" w:cs="Arial"/>
          <w:sz w:val="22"/>
          <w:szCs w:val="22"/>
          <w:lang w:val="ca-ES"/>
        </w:rPr>
        <w:t>Activos</w:t>
      </w:r>
      <w:proofErr w:type="spellEnd"/>
      <w:r w:rsidR="002827AD" w:rsidRPr="002D7142">
        <w:rPr>
          <w:rFonts w:ascii="Arial" w:hAnsi="Arial" w:cs="Arial"/>
          <w:sz w:val="22"/>
          <w:szCs w:val="22"/>
          <w:lang w:val="ca-ES"/>
        </w:rPr>
        <w:t xml:space="preserve"> ha obtingut per primera vegada la mateixa qualificació, després de firmar els </w:t>
      </w:r>
      <w:r w:rsidR="002D7142">
        <w:rPr>
          <w:rFonts w:ascii="Arial" w:hAnsi="Arial" w:cs="Arial"/>
          <w:sz w:val="22"/>
          <w:szCs w:val="22"/>
          <w:lang w:val="ca-ES"/>
        </w:rPr>
        <w:t>P</w:t>
      </w:r>
      <w:r w:rsidR="002827AD" w:rsidRPr="002D7142">
        <w:rPr>
          <w:rFonts w:ascii="Arial" w:hAnsi="Arial" w:cs="Arial"/>
          <w:sz w:val="22"/>
          <w:szCs w:val="22"/>
          <w:lang w:val="ca-ES"/>
        </w:rPr>
        <w:t xml:space="preserve">RI l’abril del 2019. Només un terç del total de les entitats </w:t>
      </w:r>
      <w:r w:rsidR="002D7142">
        <w:rPr>
          <w:rFonts w:ascii="Arial" w:hAnsi="Arial" w:cs="Arial"/>
          <w:sz w:val="22"/>
          <w:szCs w:val="22"/>
          <w:lang w:val="ca-ES"/>
        </w:rPr>
        <w:t>signants</w:t>
      </w:r>
      <w:r w:rsidR="002827AD" w:rsidRPr="002D7142">
        <w:rPr>
          <w:rFonts w:ascii="Arial" w:hAnsi="Arial" w:cs="Arial"/>
          <w:sz w:val="22"/>
          <w:szCs w:val="22"/>
          <w:lang w:val="ca-ES"/>
        </w:rPr>
        <w:t xml:space="preserve"> (formades per societats d’inversió, empreses proveïdores de serveis i gestores d’inversió </w:t>
      </w:r>
      <w:r w:rsidR="002D7142" w:rsidRPr="002D7142">
        <w:rPr>
          <w:rFonts w:ascii="Arial" w:hAnsi="Arial" w:cs="Arial"/>
          <w:sz w:val="22"/>
          <w:szCs w:val="22"/>
          <w:lang w:val="ca-ES"/>
        </w:rPr>
        <w:t>d’arreu del món) assoleixen aquesta qualificació. Així</w:t>
      </w:r>
      <w:r w:rsidR="002D7142">
        <w:rPr>
          <w:rFonts w:ascii="Arial" w:hAnsi="Arial" w:cs="Arial"/>
          <w:sz w:val="22"/>
          <w:szCs w:val="22"/>
          <w:lang w:val="ca-ES"/>
        </w:rPr>
        <w:t xml:space="preserve"> </w:t>
      </w:r>
      <w:r w:rsidR="002D7142" w:rsidRPr="002D7142">
        <w:rPr>
          <w:rFonts w:ascii="Arial" w:hAnsi="Arial" w:cs="Arial"/>
          <w:sz w:val="22"/>
          <w:szCs w:val="22"/>
          <w:lang w:val="ca-ES"/>
        </w:rPr>
        <w:t xml:space="preserve">mateix, el 2019 menys del 10% de les companyies </w:t>
      </w:r>
      <w:r w:rsidR="002D7142">
        <w:rPr>
          <w:rFonts w:ascii="Arial" w:hAnsi="Arial" w:cs="Arial"/>
          <w:sz w:val="22"/>
          <w:szCs w:val="22"/>
          <w:lang w:val="ca-ES"/>
        </w:rPr>
        <w:t>signants</w:t>
      </w:r>
      <w:r w:rsidR="002D7142" w:rsidRPr="002D7142">
        <w:rPr>
          <w:rFonts w:ascii="Arial" w:hAnsi="Arial" w:cs="Arial"/>
          <w:sz w:val="22"/>
          <w:szCs w:val="22"/>
          <w:lang w:val="ca-ES"/>
        </w:rPr>
        <w:t xml:space="preserve"> van aconseguir aquesta puntuació.</w:t>
      </w:r>
    </w:p>
    <w:p w14:paraId="6A473E61" w14:textId="1660E535" w:rsidR="002D7142" w:rsidRPr="002D7142" w:rsidRDefault="009243CC" w:rsidP="008E1EA6">
      <w:pPr>
        <w:pStyle w:val="Prrafobsico"/>
        <w:suppressAutoHyphens/>
        <w:spacing w:before="227" w:line="276" w:lineRule="auto"/>
        <w:ind w:left="-426"/>
        <w:jc w:val="both"/>
        <w:rPr>
          <w:rFonts w:ascii="Arial" w:hAnsi="Arial" w:cs="Arial"/>
          <w:sz w:val="22"/>
          <w:szCs w:val="22"/>
          <w:lang w:val="ca-ES"/>
        </w:rPr>
      </w:pPr>
      <w:r w:rsidRPr="002D7142">
        <w:rPr>
          <w:rFonts w:ascii="Arial" w:hAnsi="Arial" w:cs="Arial"/>
          <w:sz w:val="22"/>
          <w:szCs w:val="22"/>
          <w:lang w:val="ca-ES"/>
        </w:rPr>
        <w:t>L</w:t>
      </w:r>
      <w:r w:rsidR="002D7142" w:rsidRPr="002D7142">
        <w:rPr>
          <w:rFonts w:ascii="Arial" w:hAnsi="Arial" w:cs="Arial"/>
          <w:sz w:val="22"/>
          <w:szCs w:val="22"/>
          <w:lang w:val="ca-ES"/>
        </w:rPr>
        <w:t>’associació internacional d’inversors institucionals que promou els Principis per a la Inversió Responsable marcats per les Nacions Unides (PRI, per les seves sigles en anglès) ha valorat l’alt grau d’i</w:t>
      </w:r>
      <w:r w:rsidR="002D7142">
        <w:rPr>
          <w:rFonts w:ascii="Arial" w:hAnsi="Arial" w:cs="Arial"/>
          <w:sz w:val="22"/>
          <w:szCs w:val="22"/>
          <w:lang w:val="ca-ES"/>
        </w:rPr>
        <w:t>m</w:t>
      </w:r>
      <w:r w:rsidR="002D7142" w:rsidRPr="002D7142">
        <w:rPr>
          <w:rFonts w:ascii="Arial" w:hAnsi="Arial" w:cs="Arial"/>
          <w:sz w:val="22"/>
          <w:szCs w:val="22"/>
          <w:lang w:val="ca-ES"/>
        </w:rPr>
        <w:t>plementació dels principis consolidats internacionalment en</w:t>
      </w:r>
      <w:r w:rsidR="00445F6B">
        <w:rPr>
          <w:rFonts w:ascii="Arial" w:hAnsi="Arial" w:cs="Arial"/>
          <w:sz w:val="22"/>
          <w:szCs w:val="22"/>
          <w:lang w:val="ca-ES"/>
        </w:rPr>
        <w:t xml:space="preserve"> </w:t>
      </w:r>
      <w:r w:rsidR="002D7142" w:rsidRPr="002D7142">
        <w:rPr>
          <w:rFonts w:ascii="Arial" w:hAnsi="Arial" w:cs="Arial"/>
          <w:sz w:val="22"/>
          <w:szCs w:val="22"/>
          <w:lang w:val="ca-ES"/>
        </w:rPr>
        <w:t xml:space="preserve">aquest àmbit per </w:t>
      </w:r>
      <w:r w:rsidR="002D7142" w:rsidRPr="002D7142">
        <w:rPr>
          <w:rFonts w:ascii="Arial" w:hAnsi="Arial" w:cs="Arial"/>
          <w:sz w:val="22"/>
          <w:szCs w:val="22"/>
          <w:lang w:val="ca-ES"/>
        </w:rPr>
        <w:lastRenderedPageBreak/>
        <w:t xml:space="preserve">part de l’asseguradora i la gestora de fons d’inversió de </w:t>
      </w:r>
      <w:proofErr w:type="spellStart"/>
      <w:r w:rsidR="002D7142" w:rsidRPr="002D7142">
        <w:rPr>
          <w:rFonts w:ascii="Arial" w:hAnsi="Arial" w:cs="Arial"/>
          <w:sz w:val="22"/>
          <w:szCs w:val="22"/>
          <w:lang w:val="ca-ES"/>
        </w:rPr>
        <w:t>CaixaBank</w:t>
      </w:r>
      <w:proofErr w:type="spellEnd"/>
      <w:r w:rsidR="002D7142" w:rsidRPr="002D7142">
        <w:rPr>
          <w:rFonts w:ascii="Arial" w:hAnsi="Arial" w:cs="Arial"/>
          <w:sz w:val="22"/>
          <w:szCs w:val="22"/>
          <w:lang w:val="ca-ES"/>
        </w:rPr>
        <w:t>, en concret en l’àmbit de l’Estratègia i Bon Govern.</w:t>
      </w:r>
    </w:p>
    <w:p w14:paraId="5B30C4BE" w14:textId="6EB710FD" w:rsidR="002D7142" w:rsidRPr="002D7142" w:rsidRDefault="00B24524" w:rsidP="008E1EA6">
      <w:pPr>
        <w:pStyle w:val="Prrafobsico"/>
        <w:suppressAutoHyphens/>
        <w:spacing w:before="227" w:line="276" w:lineRule="auto"/>
        <w:ind w:left="-426"/>
        <w:jc w:val="both"/>
        <w:rPr>
          <w:rFonts w:ascii="Arial" w:hAnsi="Arial" w:cs="Arial"/>
          <w:sz w:val="22"/>
          <w:szCs w:val="22"/>
          <w:lang w:val="ca-ES"/>
        </w:rPr>
      </w:pPr>
      <w:r w:rsidRPr="002D7142">
        <w:rPr>
          <w:rFonts w:ascii="Arial" w:hAnsi="Arial" w:cs="Arial"/>
          <w:sz w:val="22"/>
          <w:szCs w:val="22"/>
          <w:lang w:val="ca-ES"/>
        </w:rPr>
        <w:t xml:space="preserve">En el </w:t>
      </w:r>
      <w:r w:rsidR="002D7142" w:rsidRPr="002D7142">
        <w:rPr>
          <w:rFonts w:ascii="Arial" w:hAnsi="Arial" w:cs="Arial"/>
          <w:sz w:val="22"/>
          <w:szCs w:val="22"/>
          <w:lang w:val="ca-ES"/>
        </w:rPr>
        <w:t xml:space="preserve">cas de </w:t>
      </w:r>
      <w:proofErr w:type="spellStart"/>
      <w:r w:rsidR="002D7142" w:rsidRPr="002D7142">
        <w:rPr>
          <w:rFonts w:ascii="Arial" w:hAnsi="Arial" w:cs="Arial"/>
          <w:sz w:val="22"/>
          <w:szCs w:val="22"/>
          <w:lang w:val="ca-ES"/>
        </w:rPr>
        <w:t>VidaCaixa</w:t>
      </w:r>
      <w:proofErr w:type="spellEnd"/>
      <w:r w:rsidR="002D7142" w:rsidRPr="002D7142">
        <w:rPr>
          <w:rFonts w:ascii="Arial" w:hAnsi="Arial" w:cs="Arial"/>
          <w:sz w:val="22"/>
          <w:szCs w:val="22"/>
          <w:lang w:val="ca-ES"/>
        </w:rPr>
        <w:t>, la puntuació ha millorat en els apartats de renda variable directa i propietat privada, incrementant els diàlegs amb companyies i a través de la participació en les Juntes Generals d’Accionistes de les empreses en les que inverteix. En el cas de</w:t>
      </w:r>
      <w:r w:rsidRPr="002D7142">
        <w:rPr>
          <w:rFonts w:ascii="Arial" w:hAnsi="Arial" w:cs="Arial"/>
          <w:sz w:val="22"/>
          <w:szCs w:val="22"/>
          <w:lang w:val="ca-ES"/>
        </w:rPr>
        <w:t xml:space="preserve"> </w:t>
      </w:r>
      <w:proofErr w:type="spellStart"/>
      <w:r w:rsidRPr="002D7142">
        <w:rPr>
          <w:rFonts w:ascii="Arial" w:hAnsi="Arial" w:cs="Arial"/>
          <w:sz w:val="22"/>
          <w:szCs w:val="22"/>
          <w:lang w:val="ca-ES"/>
        </w:rPr>
        <w:t>CaixaBank</w:t>
      </w:r>
      <w:proofErr w:type="spellEnd"/>
      <w:r w:rsidRPr="002D7142">
        <w:rPr>
          <w:rFonts w:ascii="Arial" w:hAnsi="Arial" w:cs="Arial"/>
          <w:sz w:val="22"/>
          <w:szCs w:val="22"/>
          <w:lang w:val="ca-ES"/>
        </w:rPr>
        <w:t xml:space="preserve"> </w:t>
      </w:r>
      <w:proofErr w:type="spellStart"/>
      <w:r w:rsidRPr="002D7142">
        <w:rPr>
          <w:rFonts w:ascii="Arial" w:hAnsi="Arial" w:cs="Arial"/>
          <w:sz w:val="22"/>
          <w:szCs w:val="22"/>
          <w:lang w:val="ca-ES"/>
        </w:rPr>
        <w:t>Asset</w:t>
      </w:r>
      <w:proofErr w:type="spellEnd"/>
      <w:r w:rsidRPr="002D7142">
        <w:rPr>
          <w:rFonts w:ascii="Arial" w:hAnsi="Arial" w:cs="Arial"/>
          <w:sz w:val="22"/>
          <w:szCs w:val="22"/>
          <w:lang w:val="ca-ES"/>
        </w:rPr>
        <w:t xml:space="preserve"> Management, </w:t>
      </w:r>
      <w:r w:rsidR="002D7142" w:rsidRPr="002D7142">
        <w:rPr>
          <w:rFonts w:ascii="Arial" w:hAnsi="Arial" w:cs="Arial"/>
          <w:sz w:val="22"/>
          <w:szCs w:val="22"/>
          <w:lang w:val="ca-ES"/>
        </w:rPr>
        <w:t>la millora respecte a l’any anterior s’ha produït principalment en l’apartat de la renda variable cotitzada.</w:t>
      </w:r>
    </w:p>
    <w:p w14:paraId="0CBE5FFB" w14:textId="7CACAEFA" w:rsidR="002D7142" w:rsidRPr="002D7142" w:rsidRDefault="0030078B" w:rsidP="00B24524">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sidRPr="002D7142">
        <w:rPr>
          <w:rFonts w:ascii="Arial" w:hAnsi="Arial" w:cs="Arial"/>
          <w:sz w:val="22"/>
          <w:szCs w:val="22"/>
          <w:lang w:val="ca-ES"/>
        </w:rPr>
        <w:t xml:space="preserve">El </w:t>
      </w:r>
      <w:r w:rsidR="00B24524" w:rsidRPr="002D7142">
        <w:rPr>
          <w:rFonts w:ascii="Arial" w:hAnsi="Arial" w:cs="Arial"/>
          <w:sz w:val="22"/>
          <w:szCs w:val="22"/>
          <w:lang w:val="ca-ES"/>
        </w:rPr>
        <w:t>PRI</w:t>
      </w:r>
      <w:r w:rsidRPr="002D7142">
        <w:rPr>
          <w:rFonts w:ascii="Arial" w:hAnsi="Arial" w:cs="Arial"/>
          <w:sz w:val="22"/>
          <w:szCs w:val="22"/>
          <w:lang w:val="ca-ES"/>
        </w:rPr>
        <w:t xml:space="preserve"> </w:t>
      </w:r>
      <w:r w:rsidR="002D7142" w:rsidRPr="002D7142">
        <w:rPr>
          <w:rFonts w:ascii="Arial" w:hAnsi="Arial" w:cs="Arial"/>
          <w:sz w:val="22"/>
          <w:szCs w:val="22"/>
          <w:lang w:val="ca-ES"/>
        </w:rPr>
        <w:t>és la xarxa internacional d’inversors més gran del món</w:t>
      </w:r>
      <w:r w:rsidR="00F22D58">
        <w:rPr>
          <w:rFonts w:ascii="Arial" w:hAnsi="Arial" w:cs="Arial"/>
          <w:sz w:val="22"/>
          <w:szCs w:val="22"/>
          <w:lang w:val="ca-ES"/>
        </w:rPr>
        <w:t>, amb més de 3.000 entitats adscrites, que impulsa i promou la inversió responsable i compta amb el suport de les Nacions Unides</w:t>
      </w:r>
      <w:r w:rsidR="00C10BFE">
        <w:rPr>
          <w:rFonts w:ascii="Arial" w:hAnsi="Arial" w:cs="Arial"/>
          <w:sz w:val="22"/>
          <w:szCs w:val="22"/>
          <w:lang w:val="ca-ES"/>
        </w:rPr>
        <w:t>, en associació amb la iniciativa UNEPFI i el Pacte Mundial de l’ONU. Per al PRI, un sistema financer global econòmicament eficient i sostenible és crucial per a la creació de valor a llarg termini.</w:t>
      </w:r>
    </w:p>
    <w:p w14:paraId="690DA57F" w14:textId="50D3082C" w:rsidR="00B24524" w:rsidRPr="00C10BFE" w:rsidRDefault="00B24524" w:rsidP="00B24524">
      <w:pPr>
        <w:widowControl w:val="0"/>
        <w:suppressAutoHyphens/>
        <w:autoSpaceDE w:val="0"/>
        <w:autoSpaceDN w:val="0"/>
        <w:adjustRightInd w:val="0"/>
        <w:spacing w:before="170" w:line="276" w:lineRule="auto"/>
        <w:ind w:left="-426"/>
        <w:jc w:val="both"/>
        <w:textAlignment w:val="center"/>
        <w:rPr>
          <w:rFonts w:ascii="Arial" w:hAnsi="Arial" w:cs="Arial"/>
          <w:b/>
          <w:sz w:val="22"/>
          <w:szCs w:val="22"/>
          <w:lang w:val="ca-ES"/>
        </w:rPr>
      </w:pPr>
      <w:r w:rsidRPr="00C10BFE">
        <w:rPr>
          <w:rFonts w:ascii="Arial" w:hAnsi="Arial" w:cs="Arial"/>
          <w:b/>
          <w:sz w:val="22"/>
          <w:szCs w:val="22"/>
          <w:lang w:val="ca-ES"/>
        </w:rPr>
        <w:t>Comprome</w:t>
      </w:r>
      <w:r w:rsidR="00C10BFE" w:rsidRPr="00C10BFE">
        <w:rPr>
          <w:rFonts w:ascii="Arial" w:hAnsi="Arial" w:cs="Arial"/>
          <w:b/>
          <w:sz w:val="22"/>
          <w:szCs w:val="22"/>
          <w:lang w:val="ca-ES"/>
        </w:rPr>
        <w:t>s</w:t>
      </w:r>
      <w:r w:rsidRPr="00C10BFE">
        <w:rPr>
          <w:rFonts w:ascii="Arial" w:hAnsi="Arial" w:cs="Arial"/>
          <w:b/>
          <w:sz w:val="22"/>
          <w:szCs w:val="22"/>
          <w:lang w:val="ca-ES"/>
        </w:rPr>
        <w:t xml:space="preserve">os </w:t>
      </w:r>
      <w:r w:rsidR="00C10BFE" w:rsidRPr="00C10BFE">
        <w:rPr>
          <w:rFonts w:ascii="Arial" w:hAnsi="Arial" w:cs="Arial"/>
          <w:b/>
          <w:sz w:val="22"/>
          <w:szCs w:val="22"/>
          <w:lang w:val="ca-ES"/>
        </w:rPr>
        <w:t>amb</w:t>
      </w:r>
      <w:r w:rsidRPr="00C10BFE">
        <w:rPr>
          <w:rFonts w:ascii="Arial" w:hAnsi="Arial" w:cs="Arial"/>
          <w:b/>
          <w:sz w:val="22"/>
          <w:szCs w:val="22"/>
          <w:lang w:val="ca-ES"/>
        </w:rPr>
        <w:t xml:space="preserve"> la inversió responsable</w:t>
      </w:r>
    </w:p>
    <w:p w14:paraId="1136A753" w14:textId="4532D55C" w:rsidR="00C10BFE" w:rsidRDefault="00B24524" w:rsidP="00A323EF">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proofErr w:type="spellStart"/>
      <w:r w:rsidRPr="00C10BFE">
        <w:rPr>
          <w:rFonts w:ascii="Arial" w:hAnsi="Arial" w:cs="Arial"/>
          <w:sz w:val="22"/>
          <w:szCs w:val="22"/>
          <w:lang w:val="ca-ES"/>
        </w:rPr>
        <w:t>CaixaBank</w:t>
      </w:r>
      <w:proofErr w:type="spellEnd"/>
      <w:r w:rsidRPr="00C10BFE">
        <w:rPr>
          <w:rFonts w:ascii="Arial" w:hAnsi="Arial" w:cs="Arial"/>
          <w:sz w:val="22"/>
          <w:szCs w:val="22"/>
          <w:lang w:val="ca-ES"/>
        </w:rPr>
        <w:t>, en</w:t>
      </w:r>
      <w:r w:rsidR="00C10BFE" w:rsidRPr="00C10BFE">
        <w:rPr>
          <w:rFonts w:ascii="Arial" w:hAnsi="Arial" w:cs="Arial"/>
          <w:sz w:val="22"/>
          <w:szCs w:val="22"/>
          <w:lang w:val="ca-ES"/>
        </w:rPr>
        <w:t xml:space="preserve"> lí</w:t>
      </w:r>
      <w:r w:rsidR="00C10BFE">
        <w:rPr>
          <w:rFonts w:ascii="Arial" w:hAnsi="Arial" w:cs="Arial"/>
          <w:sz w:val="22"/>
          <w:szCs w:val="22"/>
          <w:lang w:val="ca-ES"/>
        </w:rPr>
        <w:t>n</w:t>
      </w:r>
      <w:r w:rsidR="00C10BFE" w:rsidRPr="00C10BFE">
        <w:rPr>
          <w:rFonts w:ascii="Arial" w:hAnsi="Arial" w:cs="Arial"/>
          <w:sz w:val="22"/>
          <w:szCs w:val="22"/>
          <w:lang w:val="ca-ES"/>
        </w:rPr>
        <w:t>ia amb el seu model de banca socialment responsable, est</w:t>
      </w:r>
      <w:r w:rsidR="00C10BFE">
        <w:rPr>
          <w:rFonts w:ascii="Arial" w:hAnsi="Arial" w:cs="Arial"/>
          <w:sz w:val="22"/>
          <w:szCs w:val="22"/>
          <w:lang w:val="ca-ES"/>
        </w:rPr>
        <w:t>à</w:t>
      </w:r>
      <w:r w:rsidR="00C10BFE" w:rsidRPr="00C10BFE">
        <w:rPr>
          <w:rFonts w:ascii="Arial" w:hAnsi="Arial" w:cs="Arial"/>
          <w:sz w:val="22"/>
          <w:szCs w:val="22"/>
          <w:lang w:val="ca-ES"/>
        </w:rPr>
        <w:t xml:space="preserve"> compromesa amb la inversió sostenible, entesa com aquella</w:t>
      </w:r>
      <w:r w:rsidR="00C10BFE">
        <w:rPr>
          <w:rFonts w:ascii="Arial" w:hAnsi="Arial" w:cs="Arial"/>
          <w:sz w:val="22"/>
          <w:szCs w:val="22"/>
          <w:lang w:val="ca-ES"/>
        </w:rPr>
        <w:t xml:space="preserve"> que no només ofereix rendibilitat econòmica per als inversors, sinó que també promo</w:t>
      </w:r>
      <w:r w:rsidR="00445F6B">
        <w:rPr>
          <w:rFonts w:ascii="Arial" w:hAnsi="Arial" w:cs="Arial"/>
          <w:sz w:val="22"/>
          <w:szCs w:val="22"/>
          <w:lang w:val="ca-ES"/>
        </w:rPr>
        <w:t>u</w:t>
      </w:r>
      <w:r w:rsidR="00C10BFE">
        <w:rPr>
          <w:rFonts w:ascii="Arial" w:hAnsi="Arial" w:cs="Arial"/>
          <w:sz w:val="22"/>
          <w:szCs w:val="22"/>
          <w:lang w:val="ca-ES"/>
        </w:rPr>
        <w:t xml:space="preserve"> una gestió coherent amb la creació de valor per a tota la societat. El 2019, es va registrar un increment del 501% dels saldos mitjans dels clients de Banca Privada en fons d’inversió socialment responsable (ISR). Els productes de </w:t>
      </w:r>
      <w:proofErr w:type="spellStart"/>
      <w:r w:rsidR="00C10BFE">
        <w:rPr>
          <w:rFonts w:ascii="Arial" w:hAnsi="Arial" w:cs="Arial"/>
          <w:sz w:val="22"/>
          <w:szCs w:val="22"/>
          <w:lang w:val="ca-ES"/>
        </w:rPr>
        <w:t>VidaCaixa</w:t>
      </w:r>
      <w:proofErr w:type="spellEnd"/>
      <w:r w:rsidR="00C10BFE">
        <w:rPr>
          <w:rFonts w:ascii="Arial" w:hAnsi="Arial" w:cs="Arial"/>
          <w:sz w:val="22"/>
          <w:szCs w:val="22"/>
          <w:lang w:val="ca-ES"/>
        </w:rPr>
        <w:t xml:space="preserve"> i de </w:t>
      </w:r>
      <w:proofErr w:type="spellStart"/>
      <w:r w:rsidR="00C10BFE">
        <w:rPr>
          <w:rFonts w:ascii="Arial" w:hAnsi="Arial" w:cs="Arial"/>
          <w:sz w:val="22"/>
          <w:szCs w:val="22"/>
          <w:lang w:val="ca-ES"/>
        </w:rPr>
        <w:t>CaixaBank</w:t>
      </w:r>
      <w:proofErr w:type="spellEnd"/>
      <w:r w:rsidR="00C10BFE">
        <w:rPr>
          <w:rFonts w:ascii="Arial" w:hAnsi="Arial" w:cs="Arial"/>
          <w:sz w:val="22"/>
          <w:szCs w:val="22"/>
          <w:lang w:val="ca-ES"/>
        </w:rPr>
        <w:t xml:space="preserve"> AM relacionats amb aquest àmbit estan registrant increments de rendibilitat mitjana i en patrimoni, la qual cosa és una mostra de que és possible conciliar la rendibilitat amb la inversió responsable.</w:t>
      </w:r>
    </w:p>
    <w:p w14:paraId="26D17879" w14:textId="4A2FFDE4" w:rsidR="00C10BFE" w:rsidRDefault="00C10BFE" w:rsidP="00A323EF">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El 2009, </w:t>
      </w:r>
      <w:proofErr w:type="spellStart"/>
      <w:r>
        <w:rPr>
          <w:rFonts w:ascii="Arial" w:hAnsi="Arial" w:cs="Arial"/>
          <w:sz w:val="22"/>
          <w:szCs w:val="22"/>
          <w:lang w:val="ca-ES"/>
        </w:rPr>
        <w:t>VidaCaixa</w:t>
      </w:r>
      <w:proofErr w:type="spellEnd"/>
      <w:r>
        <w:rPr>
          <w:rFonts w:ascii="Arial" w:hAnsi="Arial" w:cs="Arial"/>
          <w:sz w:val="22"/>
          <w:szCs w:val="22"/>
          <w:lang w:val="ca-ES"/>
        </w:rPr>
        <w:t xml:space="preserve"> va esdevenir la primera asseguradora de vida i gestora de fons de pensions a Espanya en adherir-se als PRI. Avui, el 100% dels seus actius sota gestió (93.011 milions d’euros a tancament del 2019) i, per tant, tots els seus productes s’analitzen sota criteris de sostenibilitat. Durant el 2020, les principals millores implementades per l’entitat, que li han permès mantenir la màxima qualificació, han estat la promoció de nous drets polítics, l’adhesió a la iniciativa col·laborativa </w:t>
      </w:r>
      <w:proofErr w:type="spellStart"/>
      <w:r>
        <w:rPr>
          <w:rFonts w:ascii="Arial" w:hAnsi="Arial" w:cs="Arial"/>
          <w:sz w:val="22"/>
          <w:szCs w:val="22"/>
          <w:lang w:val="ca-ES"/>
        </w:rPr>
        <w:t>Climate</w:t>
      </w:r>
      <w:proofErr w:type="spellEnd"/>
      <w:r>
        <w:rPr>
          <w:rFonts w:ascii="Arial" w:hAnsi="Arial" w:cs="Arial"/>
          <w:sz w:val="22"/>
          <w:szCs w:val="22"/>
          <w:lang w:val="ca-ES"/>
        </w:rPr>
        <w:t xml:space="preserve"> </w:t>
      </w:r>
      <w:proofErr w:type="spellStart"/>
      <w:r>
        <w:rPr>
          <w:rFonts w:ascii="Arial" w:hAnsi="Arial" w:cs="Arial"/>
          <w:sz w:val="22"/>
          <w:szCs w:val="22"/>
          <w:lang w:val="ca-ES"/>
        </w:rPr>
        <w:t>Acción</w:t>
      </w:r>
      <w:proofErr w:type="spellEnd"/>
      <w:r>
        <w:rPr>
          <w:rFonts w:ascii="Arial" w:hAnsi="Arial" w:cs="Arial"/>
          <w:sz w:val="22"/>
          <w:szCs w:val="22"/>
          <w:lang w:val="ca-ES"/>
        </w:rPr>
        <w:t xml:space="preserve"> 100+</w:t>
      </w:r>
      <w:r w:rsidR="002E7A83">
        <w:rPr>
          <w:rFonts w:ascii="Arial" w:hAnsi="Arial" w:cs="Arial"/>
          <w:sz w:val="22"/>
          <w:szCs w:val="22"/>
          <w:lang w:val="ca-ES"/>
        </w:rPr>
        <w:t xml:space="preserve"> o la millora de la transparència a través d’accions de comunicació.</w:t>
      </w:r>
    </w:p>
    <w:p w14:paraId="382F0D31" w14:textId="01E62D50" w:rsidR="002E7A83" w:rsidRDefault="002E7A83" w:rsidP="00A323EF">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La rendibilitat mitjana dels plans de pensions de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a través de </w:t>
      </w:r>
      <w:proofErr w:type="spellStart"/>
      <w:r>
        <w:rPr>
          <w:rFonts w:ascii="Arial" w:hAnsi="Arial" w:cs="Arial"/>
          <w:sz w:val="22"/>
          <w:szCs w:val="22"/>
          <w:lang w:val="ca-ES"/>
        </w:rPr>
        <w:t>VidaCaixa</w:t>
      </w:r>
      <w:proofErr w:type="spellEnd"/>
      <w:r>
        <w:rPr>
          <w:rFonts w:ascii="Arial" w:hAnsi="Arial" w:cs="Arial"/>
          <w:sz w:val="22"/>
          <w:szCs w:val="22"/>
          <w:lang w:val="ca-ES"/>
        </w:rPr>
        <w:t>, històricament ha aconseguit superar la mitjana a Espanya a 1, 3, 5 i 10 anys.</w:t>
      </w:r>
    </w:p>
    <w:p w14:paraId="766511ED" w14:textId="05778242" w:rsidR="002E7A83" w:rsidRDefault="002E7A83" w:rsidP="00A323EF">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Per la seva banda,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AM ha aconseguit per segon any consecutiu la qualificació màxima. El 2020, la gestora ha impulsat els drets polítics i noves adhesions col·laboratives i el 2019 va posar en marxa un pla de formació en </w:t>
      </w:r>
      <w:proofErr w:type="spellStart"/>
      <w:r w:rsidRPr="00445F6B">
        <w:rPr>
          <w:rFonts w:ascii="Arial" w:hAnsi="Arial" w:cs="Arial"/>
          <w:i/>
          <w:sz w:val="22"/>
          <w:szCs w:val="22"/>
          <w:lang w:val="ca-ES"/>
        </w:rPr>
        <w:t>environmental</w:t>
      </w:r>
      <w:proofErr w:type="spellEnd"/>
      <w:r w:rsidRPr="00445F6B">
        <w:rPr>
          <w:rFonts w:ascii="Arial" w:hAnsi="Arial" w:cs="Arial"/>
          <w:i/>
          <w:sz w:val="22"/>
          <w:szCs w:val="22"/>
          <w:lang w:val="ca-ES"/>
        </w:rPr>
        <w:t xml:space="preserve">, social </w:t>
      </w:r>
      <w:proofErr w:type="spellStart"/>
      <w:r w:rsidRPr="00445F6B">
        <w:rPr>
          <w:rFonts w:ascii="Arial" w:hAnsi="Arial" w:cs="Arial"/>
          <w:i/>
          <w:sz w:val="22"/>
          <w:szCs w:val="22"/>
          <w:lang w:val="ca-ES"/>
        </w:rPr>
        <w:t>and</w:t>
      </w:r>
      <w:proofErr w:type="spellEnd"/>
      <w:r w:rsidRPr="00445F6B">
        <w:rPr>
          <w:rFonts w:ascii="Arial" w:hAnsi="Arial" w:cs="Arial"/>
          <w:i/>
          <w:sz w:val="22"/>
          <w:szCs w:val="22"/>
          <w:lang w:val="ca-ES"/>
        </w:rPr>
        <w:t xml:space="preserve"> </w:t>
      </w:r>
      <w:r w:rsidR="002D6122">
        <w:rPr>
          <w:rFonts w:ascii="Arial" w:hAnsi="Arial" w:cs="Arial"/>
          <w:i/>
          <w:sz w:val="22"/>
          <w:szCs w:val="22"/>
          <w:lang w:val="ca-ES"/>
        </w:rPr>
        <w:t>governança</w:t>
      </w:r>
      <w:r w:rsidR="002D6122">
        <w:rPr>
          <w:rFonts w:ascii="Arial" w:hAnsi="Arial" w:cs="Arial"/>
          <w:sz w:val="22"/>
          <w:szCs w:val="22"/>
          <w:lang w:val="ca-ES"/>
        </w:rPr>
        <w:t xml:space="preserve"> (ESG, </w:t>
      </w:r>
      <w:r>
        <w:rPr>
          <w:rFonts w:ascii="Arial" w:hAnsi="Arial" w:cs="Arial"/>
          <w:sz w:val="22"/>
          <w:szCs w:val="22"/>
          <w:lang w:val="ca-ES"/>
        </w:rPr>
        <w:t xml:space="preserve">per les seves sigles en anglès) amb el programa EFFAS </w:t>
      </w:r>
      <w:proofErr w:type="spellStart"/>
      <w:r w:rsidRPr="002E7A83">
        <w:rPr>
          <w:rFonts w:ascii="Arial" w:hAnsi="Arial" w:cs="Arial"/>
          <w:sz w:val="22"/>
          <w:szCs w:val="22"/>
          <w:lang w:val="ca-ES"/>
        </w:rPr>
        <w:t>Certified</w:t>
      </w:r>
      <w:proofErr w:type="spellEnd"/>
      <w:r w:rsidRPr="002E7A83">
        <w:rPr>
          <w:rFonts w:ascii="Arial" w:hAnsi="Arial" w:cs="Arial"/>
          <w:sz w:val="22"/>
          <w:szCs w:val="22"/>
          <w:lang w:val="ca-ES"/>
        </w:rPr>
        <w:t xml:space="preserve"> ESG </w:t>
      </w:r>
      <w:proofErr w:type="spellStart"/>
      <w:r w:rsidRPr="002E7A83">
        <w:rPr>
          <w:rFonts w:ascii="Arial" w:hAnsi="Arial" w:cs="Arial"/>
          <w:sz w:val="22"/>
          <w:szCs w:val="22"/>
          <w:lang w:val="ca-ES"/>
        </w:rPr>
        <w:t>Analyst</w:t>
      </w:r>
      <w:proofErr w:type="spellEnd"/>
      <w:r w:rsidRPr="002E7A83">
        <w:rPr>
          <w:rFonts w:ascii="Arial" w:hAnsi="Arial" w:cs="Arial"/>
          <w:sz w:val="22"/>
          <w:szCs w:val="22"/>
          <w:lang w:val="ca-ES"/>
        </w:rPr>
        <w:t xml:space="preserve"> (CESGA),</w:t>
      </w:r>
      <w:r>
        <w:rPr>
          <w:rFonts w:ascii="Arial" w:hAnsi="Arial" w:cs="Arial"/>
          <w:sz w:val="22"/>
          <w:szCs w:val="22"/>
          <w:lang w:val="ca-ES"/>
        </w:rPr>
        <w:t xml:space="preserve"> que té com a objectiu formar a un terç dels empleats en inversió socialment responsable. Aquest tipus d’inversió té en compte criteris mediambientals, socials i de governança empresarial que generin rendiments financers competitius a llar</w:t>
      </w:r>
      <w:r w:rsidR="002D6122">
        <w:rPr>
          <w:rFonts w:ascii="Arial" w:hAnsi="Arial" w:cs="Arial"/>
          <w:sz w:val="22"/>
          <w:szCs w:val="22"/>
          <w:lang w:val="ca-ES"/>
        </w:rPr>
        <w:t>g</w:t>
      </w:r>
      <w:r>
        <w:rPr>
          <w:rFonts w:ascii="Arial" w:hAnsi="Arial" w:cs="Arial"/>
          <w:sz w:val="22"/>
          <w:szCs w:val="22"/>
          <w:lang w:val="ca-ES"/>
        </w:rPr>
        <w:t xml:space="preserve"> termini i </w:t>
      </w:r>
      <w:r>
        <w:rPr>
          <w:rFonts w:ascii="Arial" w:hAnsi="Arial" w:cs="Arial"/>
          <w:sz w:val="22"/>
          <w:szCs w:val="22"/>
          <w:lang w:val="ca-ES"/>
        </w:rPr>
        <w:lastRenderedPageBreak/>
        <w:t xml:space="preserve">impacte social positius. El 85,3% del actius en fons espanyols de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AM (poc més de 46.600 milions d’euros en el moment de l’anàlisi de dades) es gestionen sota els criteris de sostenibilitat.</w:t>
      </w:r>
    </w:p>
    <w:p w14:paraId="000CC09B" w14:textId="44C11F1E" w:rsidR="002E7A83" w:rsidRDefault="002E7A83" w:rsidP="00A323EF">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En relació a la gamma més específica ESG, destaquen el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w:t>
      </w:r>
      <w:proofErr w:type="spellStart"/>
      <w:r>
        <w:rPr>
          <w:rFonts w:ascii="Arial" w:hAnsi="Arial" w:cs="Arial"/>
          <w:sz w:val="22"/>
          <w:szCs w:val="22"/>
          <w:lang w:val="ca-ES"/>
        </w:rPr>
        <w:t>Selección</w:t>
      </w:r>
      <w:proofErr w:type="spellEnd"/>
      <w:r>
        <w:rPr>
          <w:rFonts w:ascii="Arial" w:hAnsi="Arial" w:cs="Arial"/>
          <w:sz w:val="22"/>
          <w:szCs w:val="22"/>
          <w:lang w:val="ca-ES"/>
        </w:rPr>
        <w:t xml:space="preserve"> </w:t>
      </w:r>
      <w:proofErr w:type="spellStart"/>
      <w:r>
        <w:rPr>
          <w:rFonts w:ascii="Arial" w:hAnsi="Arial" w:cs="Arial"/>
          <w:sz w:val="22"/>
          <w:szCs w:val="22"/>
          <w:lang w:val="ca-ES"/>
        </w:rPr>
        <w:t>Futuro</w:t>
      </w:r>
      <w:proofErr w:type="spellEnd"/>
      <w:r>
        <w:rPr>
          <w:rFonts w:ascii="Arial" w:hAnsi="Arial" w:cs="Arial"/>
          <w:sz w:val="22"/>
          <w:szCs w:val="22"/>
          <w:lang w:val="ca-ES"/>
        </w:rPr>
        <w:t xml:space="preserve"> Sostenible, que inverteix un mínim de 75% en institucions d’inversió col·lectiva que segueixen criteris d’inversió sostenible gestionades per societats de reconegut prestigi internacional.</w:t>
      </w:r>
      <w:r w:rsidR="006D7DD9">
        <w:rPr>
          <w:rFonts w:ascii="Arial" w:hAnsi="Arial" w:cs="Arial"/>
          <w:sz w:val="22"/>
          <w:szCs w:val="22"/>
          <w:lang w:val="ca-ES"/>
        </w:rPr>
        <w:t xml:space="preserve"> A tancament de juny del 2020, comptava amb un patrimoni de 242 milions d’euros (+78% vs. desembre 2019).</w:t>
      </w:r>
    </w:p>
    <w:p w14:paraId="3FD38FE6" w14:textId="5BD547D5" w:rsidR="006D7DD9" w:rsidRDefault="006D7DD9" w:rsidP="00A323EF">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Per altra banda, el </w:t>
      </w:r>
      <w:proofErr w:type="spellStart"/>
      <w:r>
        <w:rPr>
          <w:rFonts w:ascii="Arial" w:hAnsi="Arial" w:cs="Arial"/>
          <w:sz w:val="22"/>
          <w:szCs w:val="22"/>
          <w:lang w:val="ca-ES"/>
        </w:rPr>
        <w:t>MicroBank</w:t>
      </w:r>
      <w:proofErr w:type="spellEnd"/>
      <w:r>
        <w:rPr>
          <w:rFonts w:ascii="Arial" w:hAnsi="Arial" w:cs="Arial"/>
          <w:sz w:val="22"/>
          <w:szCs w:val="22"/>
          <w:lang w:val="ca-ES"/>
        </w:rPr>
        <w:t xml:space="preserve"> Fondo </w:t>
      </w:r>
      <w:proofErr w:type="spellStart"/>
      <w:r>
        <w:rPr>
          <w:rFonts w:ascii="Arial" w:hAnsi="Arial" w:cs="Arial"/>
          <w:sz w:val="22"/>
          <w:szCs w:val="22"/>
          <w:lang w:val="ca-ES"/>
        </w:rPr>
        <w:t>Ético</w:t>
      </w:r>
      <w:proofErr w:type="spellEnd"/>
      <w:r>
        <w:rPr>
          <w:rFonts w:ascii="Arial" w:hAnsi="Arial" w:cs="Arial"/>
          <w:sz w:val="22"/>
          <w:szCs w:val="22"/>
          <w:lang w:val="ca-ES"/>
        </w:rPr>
        <w:t xml:space="preserve"> és un fons mixt, ètic i solidari que integra la recerca de rendibilitat amb criteris vinculats a la responsabilitat social. A més, té un component solidari, ja que cedeix el 25% de la comissió de gestió a organitzacions no lucratives, mentre </w:t>
      </w:r>
      <w:r w:rsidR="002D6122">
        <w:rPr>
          <w:rFonts w:ascii="Arial" w:hAnsi="Arial" w:cs="Arial"/>
          <w:sz w:val="22"/>
          <w:szCs w:val="22"/>
          <w:lang w:val="ca-ES"/>
        </w:rPr>
        <w:t>qu</w:t>
      </w:r>
      <w:r>
        <w:rPr>
          <w:rFonts w:ascii="Arial" w:hAnsi="Arial" w:cs="Arial"/>
          <w:sz w:val="22"/>
          <w:szCs w:val="22"/>
          <w:lang w:val="ca-ES"/>
        </w:rPr>
        <w:t>e la Fundació “la Caixa” aporta un import equivalent per a un projecte de cooperació internacional. A tancament de juny del 2020, comptava amb un volum de 99 milions d’euros (+8,8% vs. desembre 2019).</w:t>
      </w:r>
    </w:p>
    <w:p w14:paraId="67A15D48" w14:textId="00B936B3" w:rsidR="006D7DD9" w:rsidRPr="00C10BFE" w:rsidRDefault="006D7DD9" w:rsidP="00A323EF">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Finalment, el </w:t>
      </w:r>
      <w:proofErr w:type="spellStart"/>
      <w:r>
        <w:rPr>
          <w:rFonts w:ascii="Arial" w:hAnsi="Arial" w:cs="Arial"/>
          <w:sz w:val="22"/>
          <w:szCs w:val="22"/>
          <w:lang w:val="ca-ES"/>
        </w:rPr>
        <w:t>M</w:t>
      </w:r>
      <w:r w:rsidR="002D6122">
        <w:rPr>
          <w:rFonts w:ascii="Arial" w:hAnsi="Arial" w:cs="Arial"/>
          <w:sz w:val="22"/>
          <w:szCs w:val="22"/>
          <w:lang w:val="ca-ES"/>
        </w:rPr>
        <w:t>i</w:t>
      </w:r>
      <w:r>
        <w:rPr>
          <w:rFonts w:ascii="Arial" w:hAnsi="Arial" w:cs="Arial"/>
          <w:sz w:val="22"/>
          <w:szCs w:val="22"/>
          <w:lang w:val="ca-ES"/>
        </w:rPr>
        <w:t>croBank</w:t>
      </w:r>
      <w:proofErr w:type="spellEnd"/>
      <w:r>
        <w:rPr>
          <w:rFonts w:ascii="Arial" w:hAnsi="Arial" w:cs="Arial"/>
          <w:sz w:val="22"/>
          <w:szCs w:val="22"/>
          <w:lang w:val="ca-ES"/>
        </w:rPr>
        <w:t xml:space="preserve"> Fondo </w:t>
      </w:r>
      <w:proofErr w:type="spellStart"/>
      <w:r>
        <w:rPr>
          <w:rFonts w:ascii="Arial" w:hAnsi="Arial" w:cs="Arial"/>
          <w:sz w:val="22"/>
          <w:szCs w:val="22"/>
          <w:lang w:val="ca-ES"/>
        </w:rPr>
        <w:t>Ecológico</w:t>
      </w:r>
      <w:proofErr w:type="spellEnd"/>
      <w:r>
        <w:rPr>
          <w:rFonts w:ascii="Arial" w:hAnsi="Arial" w:cs="Arial"/>
          <w:sz w:val="22"/>
          <w:szCs w:val="22"/>
          <w:lang w:val="ca-ES"/>
        </w:rPr>
        <w:t xml:space="preserve"> és un fons de renda variable internacional que inverteix en una selecció de fons ecològicament responsables de sectors com ara les energies renovables, l’alimentació ecològica, el reciclatge o el tractament d’aigües, entre d’altres. A tancament de juny del 2020, comptava amb un volum de 37,2 milions d’euros (+13,7% vs</w:t>
      </w:r>
      <w:r w:rsidR="002D6122">
        <w:rPr>
          <w:rFonts w:ascii="Arial" w:hAnsi="Arial" w:cs="Arial"/>
          <w:sz w:val="22"/>
          <w:szCs w:val="22"/>
          <w:lang w:val="ca-ES"/>
        </w:rPr>
        <w:t>.</w:t>
      </w:r>
      <w:r>
        <w:rPr>
          <w:rFonts w:ascii="Arial" w:hAnsi="Arial" w:cs="Arial"/>
          <w:sz w:val="22"/>
          <w:szCs w:val="22"/>
          <w:lang w:val="ca-ES"/>
        </w:rPr>
        <w:t xml:space="preserve"> desembre 2019).</w:t>
      </w:r>
    </w:p>
    <w:p w14:paraId="26714E1A" w14:textId="6C81535D" w:rsidR="006D7DD9" w:rsidRDefault="001F4ECD"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sidRPr="006D7DD9">
        <w:rPr>
          <w:rFonts w:ascii="Arial" w:hAnsi="Arial" w:cs="Arial"/>
          <w:sz w:val="22"/>
          <w:szCs w:val="22"/>
          <w:lang w:val="ca-ES"/>
        </w:rPr>
        <w:t xml:space="preserve">BPI </w:t>
      </w:r>
      <w:proofErr w:type="spellStart"/>
      <w:r w:rsidRPr="006D7DD9">
        <w:rPr>
          <w:rFonts w:ascii="Arial" w:hAnsi="Arial" w:cs="Arial"/>
          <w:sz w:val="22"/>
          <w:szCs w:val="22"/>
          <w:lang w:val="ca-ES"/>
        </w:rPr>
        <w:t>Gestão</w:t>
      </w:r>
      <w:proofErr w:type="spellEnd"/>
      <w:r w:rsidRPr="006D7DD9">
        <w:rPr>
          <w:rFonts w:ascii="Arial" w:hAnsi="Arial" w:cs="Arial"/>
          <w:sz w:val="22"/>
          <w:szCs w:val="22"/>
          <w:lang w:val="ca-ES"/>
        </w:rPr>
        <w:t xml:space="preserve"> de </w:t>
      </w:r>
      <w:proofErr w:type="spellStart"/>
      <w:r w:rsidRPr="006D7DD9">
        <w:rPr>
          <w:rFonts w:ascii="Arial" w:hAnsi="Arial" w:cs="Arial"/>
          <w:sz w:val="22"/>
          <w:szCs w:val="22"/>
          <w:lang w:val="ca-ES"/>
        </w:rPr>
        <w:t>Activos</w:t>
      </w:r>
      <w:proofErr w:type="spellEnd"/>
      <w:r w:rsidR="006D7DD9" w:rsidRPr="006D7DD9">
        <w:rPr>
          <w:rFonts w:ascii="Arial" w:hAnsi="Arial" w:cs="Arial"/>
          <w:sz w:val="22"/>
          <w:szCs w:val="22"/>
          <w:lang w:val="ca-ES"/>
        </w:rPr>
        <w:t xml:space="preserve"> </w:t>
      </w:r>
      <w:r w:rsidR="006D7DD9">
        <w:rPr>
          <w:rFonts w:ascii="Arial" w:hAnsi="Arial" w:cs="Arial"/>
          <w:sz w:val="22"/>
          <w:szCs w:val="22"/>
          <w:lang w:val="ca-ES"/>
        </w:rPr>
        <w:t>es va convertir l’abril del 2019 en la primera societat gestora de fons d’inversió portuguesa en signar els PRI. Per això, va desenvolupar un profund procés d’alineament amb</w:t>
      </w:r>
      <w:r w:rsidR="002D6122">
        <w:rPr>
          <w:rFonts w:ascii="Arial" w:hAnsi="Arial" w:cs="Arial"/>
          <w:sz w:val="22"/>
          <w:szCs w:val="22"/>
          <w:lang w:val="ca-ES"/>
        </w:rPr>
        <w:t xml:space="preserve"> </w:t>
      </w:r>
      <w:r w:rsidR="006D7DD9">
        <w:rPr>
          <w:rFonts w:ascii="Arial" w:hAnsi="Arial" w:cs="Arial"/>
          <w:sz w:val="22"/>
          <w:szCs w:val="22"/>
          <w:lang w:val="ca-ES"/>
        </w:rPr>
        <w:t>les millors pràctiques del Grup en termes de sostenibilitat i inversió responsable.</w:t>
      </w:r>
    </w:p>
    <w:p w14:paraId="25018324" w14:textId="4516060B" w:rsidR="006D7DD9" w:rsidRDefault="006D7DD9"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A més d’aprovar pràctiques i procediments d’inversió socialment responsables</w:t>
      </w:r>
      <w:r w:rsidR="00F53F0D">
        <w:rPr>
          <w:rFonts w:ascii="Arial" w:hAnsi="Arial" w:cs="Arial"/>
          <w:sz w:val="22"/>
          <w:szCs w:val="22"/>
          <w:lang w:val="ca-ES"/>
        </w:rPr>
        <w:t xml:space="preserve"> alineats amb el seu accionista </w:t>
      </w:r>
      <w:proofErr w:type="spellStart"/>
      <w:r w:rsidR="00F53F0D">
        <w:rPr>
          <w:rFonts w:ascii="Arial" w:hAnsi="Arial" w:cs="Arial"/>
          <w:sz w:val="22"/>
          <w:szCs w:val="22"/>
          <w:lang w:val="ca-ES"/>
        </w:rPr>
        <w:t>CaixaBank</w:t>
      </w:r>
      <w:proofErr w:type="spellEnd"/>
      <w:r w:rsidR="00F53F0D">
        <w:rPr>
          <w:rFonts w:ascii="Arial" w:hAnsi="Arial" w:cs="Arial"/>
          <w:sz w:val="22"/>
          <w:szCs w:val="22"/>
          <w:lang w:val="ca-ES"/>
        </w:rPr>
        <w:t xml:space="preserve"> </w:t>
      </w:r>
      <w:proofErr w:type="spellStart"/>
      <w:r w:rsidR="00F53F0D">
        <w:rPr>
          <w:rFonts w:ascii="Arial" w:hAnsi="Arial" w:cs="Arial"/>
          <w:sz w:val="22"/>
          <w:szCs w:val="22"/>
          <w:lang w:val="ca-ES"/>
        </w:rPr>
        <w:t>Asset</w:t>
      </w:r>
      <w:proofErr w:type="spellEnd"/>
      <w:r w:rsidR="00F53F0D">
        <w:rPr>
          <w:rFonts w:ascii="Arial" w:hAnsi="Arial" w:cs="Arial"/>
          <w:sz w:val="22"/>
          <w:szCs w:val="22"/>
          <w:lang w:val="ca-ES"/>
        </w:rPr>
        <w:t xml:space="preserve"> Management, BPI GA ha participat activament en el pla</w:t>
      </w:r>
      <w:r w:rsidR="005E76EB">
        <w:rPr>
          <w:rFonts w:ascii="Arial" w:hAnsi="Arial" w:cs="Arial"/>
          <w:sz w:val="22"/>
          <w:szCs w:val="22"/>
          <w:lang w:val="ca-ES"/>
        </w:rPr>
        <w:t xml:space="preserve"> estratègic d’aquesta entitat.</w:t>
      </w:r>
    </w:p>
    <w:p w14:paraId="78F29E79" w14:textId="64190B4F" w:rsidR="005E76EB" w:rsidRDefault="005E76EB"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Des de llavors, la gestora ha fet un projecte en una reputada escola de negocis portuguesa per accelerar i aprofundir els seus processos d’ISR, inclòs el desenvolupament d’un pla de formació en factors mediambientals, socials i de govern de tota la plantilla de la gestora.</w:t>
      </w:r>
    </w:p>
    <w:p w14:paraId="2FD3BC34" w14:textId="174937F0" w:rsidR="005E76EB" w:rsidRDefault="005E76EB"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Al seu torn, BPI GA també va ser la primera entitat portuguesa en signar el pacte </w:t>
      </w:r>
      <w:proofErr w:type="spellStart"/>
      <w:r>
        <w:rPr>
          <w:rFonts w:ascii="Arial" w:hAnsi="Arial" w:cs="Arial"/>
          <w:sz w:val="22"/>
          <w:szCs w:val="22"/>
          <w:lang w:val="ca-ES"/>
        </w:rPr>
        <w:t>Climate</w:t>
      </w:r>
      <w:proofErr w:type="spellEnd"/>
      <w:r>
        <w:rPr>
          <w:rFonts w:ascii="Arial" w:hAnsi="Arial" w:cs="Arial"/>
          <w:sz w:val="22"/>
          <w:szCs w:val="22"/>
          <w:lang w:val="ca-ES"/>
        </w:rPr>
        <w:t xml:space="preserve"> </w:t>
      </w:r>
      <w:proofErr w:type="spellStart"/>
      <w:r>
        <w:rPr>
          <w:rFonts w:ascii="Arial" w:hAnsi="Arial" w:cs="Arial"/>
          <w:sz w:val="22"/>
          <w:szCs w:val="22"/>
          <w:lang w:val="ca-ES"/>
        </w:rPr>
        <w:t>Action</w:t>
      </w:r>
      <w:proofErr w:type="spellEnd"/>
      <w:r>
        <w:rPr>
          <w:rFonts w:ascii="Arial" w:hAnsi="Arial" w:cs="Arial"/>
          <w:sz w:val="22"/>
          <w:szCs w:val="22"/>
          <w:lang w:val="ca-ES"/>
        </w:rPr>
        <w:t xml:space="preserve"> 100+ per impulsar la transició a una energia neta i contribuir a assolir els objectius de l’Acord de París del 2015 (COP21).</w:t>
      </w:r>
    </w:p>
    <w:p w14:paraId="6EF3C189" w14:textId="06BFDF9B" w:rsidR="005E76EB" w:rsidRDefault="005E76EB" w:rsidP="001F4ECD">
      <w:pPr>
        <w:widowControl w:val="0"/>
        <w:suppressAutoHyphens/>
        <w:autoSpaceDE w:val="0"/>
        <w:autoSpaceDN w:val="0"/>
        <w:adjustRightInd w:val="0"/>
        <w:spacing w:before="170" w:line="276" w:lineRule="auto"/>
        <w:ind w:left="-426"/>
        <w:jc w:val="both"/>
        <w:textAlignment w:val="center"/>
        <w:rPr>
          <w:rFonts w:ascii="Arial" w:hAnsi="Arial" w:cs="Arial"/>
          <w:b/>
          <w:sz w:val="22"/>
          <w:szCs w:val="22"/>
          <w:lang w:val="ca-ES"/>
        </w:rPr>
      </w:pPr>
      <w:r w:rsidRPr="005E76EB">
        <w:rPr>
          <w:rFonts w:ascii="Arial" w:hAnsi="Arial" w:cs="Arial"/>
          <w:b/>
          <w:sz w:val="22"/>
          <w:szCs w:val="22"/>
          <w:lang w:val="ca-ES"/>
        </w:rPr>
        <w:t>Finançament sostenible</w:t>
      </w:r>
    </w:p>
    <w:p w14:paraId="09F1E40D" w14:textId="45041435" w:rsidR="005E76EB" w:rsidRDefault="005E76EB"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Durant el primer semestre del 2020,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ha seguit treballant per impulsar el finançament d’activitats sostenibles, segons els criteris ESG:</w:t>
      </w:r>
    </w:p>
    <w:p w14:paraId="48880D5F" w14:textId="36D8F52D" w:rsidR="002F2DB2" w:rsidRDefault="002F2DB2"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lastRenderedPageBreak/>
        <w:t xml:space="preserve">En relació als préstecs verds, destinats a finançar activitats la finalitat de les quals tingui un impacte mediambiental certificat,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s’ha situat en la 2a. </w:t>
      </w:r>
      <w:r w:rsidR="002D6122">
        <w:rPr>
          <w:rFonts w:ascii="Arial" w:hAnsi="Arial" w:cs="Arial"/>
          <w:sz w:val="22"/>
          <w:szCs w:val="22"/>
          <w:lang w:val="ca-ES"/>
        </w:rPr>
        <w:t>p</w:t>
      </w:r>
      <w:r>
        <w:rPr>
          <w:rFonts w:ascii="Arial" w:hAnsi="Arial" w:cs="Arial"/>
          <w:sz w:val="22"/>
          <w:szCs w:val="22"/>
          <w:lang w:val="ca-ES"/>
        </w:rPr>
        <w:t xml:space="preserve">osició a nivell europeu (junt amb </w:t>
      </w:r>
      <w:proofErr w:type="spellStart"/>
      <w:r>
        <w:rPr>
          <w:rFonts w:ascii="Arial" w:hAnsi="Arial" w:cs="Arial"/>
          <w:sz w:val="22"/>
          <w:szCs w:val="22"/>
          <w:lang w:val="ca-ES"/>
        </w:rPr>
        <w:t>Lead</w:t>
      </w:r>
      <w:proofErr w:type="spellEnd"/>
      <w:r>
        <w:rPr>
          <w:rFonts w:ascii="Arial" w:hAnsi="Arial" w:cs="Arial"/>
          <w:sz w:val="22"/>
          <w:szCs w:val="22"/>
          <w:lang w:val="ca-ES"/>
        </w:rPr>
        <w:t xml:space="preserve"> Bank) amb un volum de 383 milions de dòlars. Així mateix, en relació amb l’àmbit d’operatives en l’activitat de préstecs verds i ESG, segons</w:t>
      </w:r>
      <w:r w:rsidRPr="002F2DB2">
        <w:t xml:space="preserve"> </w:t>
      </w:r>
      <w:proofErr w:type="spellStart"/>
      <w:r w:rsidRPr="002F2DB2">
        <w:rPr>
          <w:rFonts w:ascii="Arial" w:hAnsi="Arial" w:cs="Arial"/>
          <w:sz w:val="22"/>
          <w:szCs w:val="22"/>
          <w:lang w:val="ca-ES"/>
        </w:rPr>
        <w:t>Refinitiv</w:t>
      </w:r>
      <w:proofErr w:type="spellEnd"/>
      <w:r w:rsidRPr="002F2DB2">
        <w:rPr>
          <w:rFonts w:ascii="Arial" w:hAnsi="Arial" w:cs="Arial"/>
          <w:sz w:val="22"/>
          <w:szCs w:val="22"/>
          <w:lang w:val="ca-ES"/>
        </w:rPr>
        <w:t xml:space="preserve"> </w:t>
      </w:r>
      <w:proofErr w:type="spellStart"/>
      <w:r w:rsidRPr="002F2DB2">
        <w:rPr>
          <w:rFonts w:ascii="Arial" w:hAnsi="Arial" w:cs="Arial"/>
          <w:sz w:val="22"/>
          <w:szCs w:val="22"/>
          <w:lang w:val="ca-ES"/>
        </w:rPr>
        <w:t>League</w:t>
      </w:r>
      <w:proofErr w:type="spellEnd"/>
      <w:r w:rsidRPr="002F2DB2">
        <w:rPr>
          <w:rFonts w:ascii="Arial" w:hAnsi="Arial" w:cs="Arial"/>
          <w:sz w:val="22"/>
          <w:szCs w:val="22"/>
          <w:lang w:val="ca-ES"/>
        </w:rPr>
        <w:t xml:space="preserve"> Tables</w:t>
      </w:r>
      <w:r>
        <w:rPr>
          <w:rFonts w:ascii="Arial" w:hAnsi="Arial" w:cs="Arial"/>
          <w:sz w:val="22"/>
          <w:szCs w:val="22"/>
          <w:lang w:val="ca-ES"/>
        </w:rPr>
        <w:t xml:space="preserve">,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s’ha situat en el primer semestre de l’any, com </w:t>
      </w:r>
      <w:proofErr w:type="spellStart"/>
      <w:r w:rsidRPr="002F2DB2">
        <w:rPr>
          <w:rFonts w:ascii="Arial" w:hAnsi="Arial" w:cs="Arial"/>
          <w:sz w:val="22"/>
          <w:szCs w:val="22"/>
          <w:lang w:val="ca-ES"/>
        </w:rPr>
        <w:t>Mandated</w:t>
      </w:r>
      <w:proofErr w:type="spellEnd"/>
      <w:r w:rsidRPr="002F2DB2">
        <w:rPr>
          <w:rFonts w:ascii="Arial" w:hAnsi="Arial" w:cs="Arial"/>
          <w:sz w:val="22"/>
          <w:szCs w:val="22"/>
          <w:lang w:val="ca-ES"/>
        </w:rPr>
        <w:t xml:space="preserve"> </w:t>
      </w:r>
      <w:proofErr w:type="spellStart"/>
      <w:r w:rsidRPr="002F2DB2">
        <w:rPr>
          <w:rFonts w:ascii="Arial" w:hAnsi="Arial" w:cs="Arial"/>
          <w:sz w:val="22"/>
          <w:szCs w:val="22"/>
          <w:lang w:val="ca-ES"/>
        </w:rPr>
        <w:t>Lead</w:t>
      </w:r>
      <w:proofErr w:type="spellEnd"/>
      <w:r w:rsidRPr="002F2DB2">
        <w:rPr>
          <w:rFonts w:ascii="Arial" w:hAnsi="Arial" w:cs="Arial"/>
          <w:sz w:val="22"/>
          <w:szCs w:val="22"/>
          <w:lang w:val="ca-ES"/>
        </w:rPr>
        <w:t xml:space="preserve"> </w:t>
      </w:r>
      <w:proofErr w:type="spellStart"/>
      <w:r w:rsidRPr="002F2DB2">
        <w:rPr>
          <w:rFonts w:ascii="Arial" w:hAnsi="Arial" w:cs="Arial"/>
          <w:sz w:val="22"/>
          <w:szCs w:val="22"/>
          <w:lang w:val="ca-ES"/>
        </w:rPr>
        <w:t>Arranger</w:t>
      </w:r>
      <w:proofErr w:type="spellEnd"/>
      <w:r>
        <w:rPr>
          <w:rFonts w:ascii="Arial" w:hAnsi="Arial" w:cs="Arial"/>
          <w:sz w:val="22"/>
          <w:szCs w:val="22"/>
          <w:lang w:val="ca-ES"/>
        </w:rPr>
        <w:t xml:space="preserve">, en 9a. </w:t>
      </w:r>
      <w:r w:rsidR="002D6122">
        <w:rPr>
          <w:rFonts w:ascii="Arial" w:hAnsi="Arial" w:cs="Arial"/>
          <w:sz w:val="22"/>
          <w:szCs w:val="22"/>
          <w:lang w:val="ca-ES"/>
        </w:rPr>
        <w:t>p</w:t>
      </w:r>
      <w:r>
        <w:rPr>
          <w:rFonts w:ascii="Arial" w:hAnsi="Arial" w:cs="Arial"/>
          <w:sz w:val="22"/>
          <w:szCs w:val="22"/>
          <w:lang w:val="ca-ES"/>
        </w:rPr>
        <w:t xml:space="preserve">osició a nivell mundial per nombre d’operacions i en 12a. </w:t>
      </w:r>
      <w:r w:rsidR="002D6122">
        <w:rPr>
          <w:rFonts w:ascii="Arial" w:hAnsi="Arial" w:cs="Arial"/>
          <w:sz w:val="22"/>
          <w:szCs w:val="22"/>
          <w:lang w:val="ca-ES"/>
        </w:rPr>
        <w:t>p</w:t>
      </w:r>
      <w:r>
        <w:rPr>
          <w:rFonts w:ascii="Arial" w:hAnsi="Arial" w:cs="Arial"/>
          <w:sz w:val="22"/>
          <w:szCs w:val="22"/>
          <w:lang w:val="ca-ES"/>
        </w:rPr>
        <w:t>er volum, amb 18 operacions i 1.654 milions de dòlars.</w:t>
      </w:r>
    </w:p>
    <w:p w14:paraId="0CE3D24C" w14:textId="2AABC24E" w:rsidR="005E76EB" w:rsidRDefault="002F2DB2"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A més,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ha signat 8 préstecs amb un volum de 867 milions d’euros</w:t>
      </w:r>
      <w:r w:rsidR="002F3DED">
        <w:rPr>
          <w:rFonts w:ascii="Arial" w:hAnsi="Arial" w:cs="Arial"/>
          <w:sz w:val="22"/>
          <w:szCs w:val="22"/>
          <w:lang w:val="ca-ES"/>
        </w:rPr>
        <w:t xml:space="preserve"> les condicions dels quals estan vinculades al reconeixement del bon exercici en sostenibilitat de les companyies. Aquest exercici es pot mesurar per la millora dels indicadors ambientals o </w:t>
      </w:r>
      <w:r w:rsidR="002D6122">
        <w:rPr>
          <w:rFonts w:ascii="Arial" w:hAnsi="Arial" w:cs="Arial"/>
          <w:sz w:val="22"/>
          <w:szCs w:val="22"/>
          <w:lang w:val="ca-ES"/>
        </w:rPr>
        <w:t>per</w:t>
      </w:r>
      <w:r w:rsidR="002F3DED">
        <w:rPr>
          <w:rFonts w:ascii="Arial" w:hAnsi="Arial" w:cs="Arial"/>
          <w:sz w:val="22"/>
          <w:szCs w:val="22"/>
          <w:lang w:val="ca-ES"/>
        </w:rPr>
        <w:t xml:space="preserve"> la qualificació obtinguda per part dels índexs ESG realitzats per entitats independents.</w:t>
      </w:r>
    </w:p>
    <w:p w14:paraId="3CDFDB45" w14:textId="233333AC" w:rsidR="002F3DED" w:rsidRDefault="002F3DED"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En</w:t>
      </w:r>
      <w:r w:rsidR="002D6122">
        <w:rPr>
          <w:rFonts w:ascii="Arial" w:hAnsi="Arial" w:cs="Arial"/>
          <w:sz w:val="22"/>
          <w:szCs w:val="22"/>
          <w:lang w:val="ca-ES"/>
        </w:rPr>
        <w:t xml:space="preserve"> </w:t>
      </w:r>
      <w:r>
        <w:rPr>
          <w:rFonts w:ascii="Arial" w:hAnsi="Arial" w:cs="Arial"/>
          <w:sz w:val="22"/>
          <w:szCs w:val="22"/>
          <w:lang w:val="ca-ES"/>
        </w:rPr>
        <w:t xml:space="preserve">aquest àmbit, cal destacar la signatura del primer contracte de </w:t>
      </w:r>
      <w:proofErr w:type="spellStart"/>
      <w:r w:rsidRPr="002F3DED">
        <w:rPr>
          <w:rFonts w:ascii="Arial" w:hAnsi="Arial" w:cs="Arial"/>
          <w:i/>
          <w:sz w:val="22"/>
          <w:szCs w:val="22"/>
          <w:lang w:val="ca-ES"/>
        </w:rPr>
        <w:t>factoring</w:t>
      </w:r>
      <w:proofErr w:type="spellEnd"/>
      <w:r>
        <w:rPr>
          <w:rFonts w:ascii="Arial" w:hAnsi="Arial" w:cs="Arial"/>
          <w:sz w:val="22"/>
          <w:szCs w:val="22"/>
          <w:lang w:val="ca-ES"/>
        </w:rPr>
        <w:t xml:space="preserve"> sostenible d’Espanya. L’operació es caracteritza per incloure criteris de sostenibilitat en la política de preus d’aquest mètode de finançament a curt termini. </w:t>
      </w:r>
    </w:p>
    <w:p w14:paraId="184BEC89" w14:textId="2EBD4A02" w:rsidR="002F3DED" w:rsidRDefault="002F3DED"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 xml:space="preserve">Addicionalment, en el primer semestre del 2020 </w:t>
      </w:r>
      <w:proofErr w:type="spellStart"/>
      <w:r>
        <w:rPr>
          <w:rFonts w:ascii="Arial" w:hAnsi="Arial" w:cs="Arial"/>
          <w:sz w:val="22"/>
          <w:szCs w:val="22"/>
          <w:lang w:val="ca-ES"/>
        </w:rPr>
        <w:t>CaixaBank</w:t>
      </w:r>
      <w:proofErr w:type="spellEnd"/>
      <w:r>
        <w:rPr>
          <w:rFonts w:ascii="Arial" w:hAnsi="Arial" w:cs="Arial"/>
          <w:sz w:val="22"/>
          <w:szCs w:val="22"/>
          <w:lang w:val="ca-ES"/>
        </w:rPr>
        <w:t xml:space="preserve"> ha participat en la col·locació de 5 emissions de bons verds per un import de 3.700 milions d’euros (2.550 milions el 2019).</w:t>
      </w:r>
    </w:p>
    <w:p w14:paraId="2ECCEAE5" w14:textId="56D36770" w:rsidR="002F3DED" w:rsidRPr="002F3DED" w:rsidRDefault="002F3DED" w:rsidP="001F4ECD">
      <w:pPr>
        <w:widowControl w:val="0"/>
        <w:suppressAutoHyphens/>
        <w:autoSpaceDE w:val="0"/>
        <w:autoSpaceDN w:val="0"/>
        <w:adjustRightInd w:val="0"/>
        <w:spacing w:before="170" w:line="276" w:lineRule="auto"/>
        <w:ind w:left="-426"/>
        <w:jc w:val="both"/>
        <w:textAlignment w:val="center"/>
        <w:rPr>
          <w:rFonts w:ascii="Arial" w:hAnsi="Arial" w:cs="Arial"/>
          <w:b/>
          <w:sz w:val="22"/>
          <w:szCs w:val="22"/>
          <w:lang w:val="ca-ES"/>
        </w:rPr>
      </w:pPr>
      <w:r w:rsidRPr="002F3DED">
        <w:rPr>
          <w:rFonts w:ascii="Arial" w:hAnsi="Arial" w:cs="Arial"/>
          <w:b/>
          <w:sz w:val="22"/>
          <w:szCs w:val="22"/>
          <w:lang w:val="ca-ES"/>
        </w:rPr>
        <w:t>Els sis principis PRI</w:t>
      </w:r>
    </w:p>
    <w:p w14:paraId="07341732" w14:textId="7E52006F" w:rsidR="002F3DED" w:rsidRDefault="002F3DED"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Els Principis d’Inversió Responsable es van llançar l’abril del 2006 a l’empara de les Nacions Unides. Des de llavors, el nombre d’institucions signants ha passat de 100 a més de 30.000 provinents de més de 60 països, i qu</w:t>
      </w:r>
      <w:r w:rsidR="002D6122">
        <w:rPr>
          <w:rFonts w:ascii="Arial" w:hAnsi="Arial" w:cs="Arial"/>
          <w:sz w:val="22"/>
          <w:szCs w:val="22"/>
          <w:lang w:val="ca-ES"/>
        </w:rPr>
        <w:t>e</w:t>
      </w:r>
      <w:r>
        <w:rPr>
          <w:rFonts w:ascii="Arial" w:hAnsi="Arial" w:cs="Arial"/>
          <w:sz w:val="22"/>
          <w:szCs w:val="22"/>
          <w:lang w:val="ca-ES"/>
        </w:rPr>
        <w:t xml:space="preserve"> gestionen actius per valor de més de 80 bilions de dòlars.</w:t>
      </w:r>
    </w:p>
    <w:p w14:paraId="5080A96B" w14:textId="021FE144" w:rsidR="002F3DED" w:rsidRDefault="00A221DA" w:rsidP="001F4ECD">
      <w:pPr>
        <w:widowControl w:val="0"/>
        <w:suppressAutoHyphens/>
        <w:autoSpaceDE w:val="0"/>
        <w:autoSpaceDN w:val="0"/>
        <w:adjustRightInd w:val="0"/>
        <w:spacing w:before="170" w:line="276" w:lineRule="auto"/>
        <w:ind w:left="-426"/>
        <w:jc w:val="both"/>
        <w:textAlignment w:val="center"/>
        <w:rPr>
          <w:rFonts w:ascii="Arial" w:hAnsi="Arial" w:cs="Arial"/>
          <w:sz w:val="22"/>
          <w:szCs w:val="22"/>
          <w:lang w:val="ca-ES"/>
        </w:rPr>
      </w:pPr>
      <w:r>
        <w:rPr>
          <w:rFonts w:ascii="Arial" w:hAnsi="Arial" w:cs="Arial"/>
          <w:sz w:val="22"/>
          <w:szCs w:val="22"/>
          <w:lang w:val="ca-ES"/>
        </w:rPr>
        <w:t>Es tracta d’un conjunt de principis, desenvolupats per i per als inversors, voluntaris i aspiracionals, que presenten un seguit d’accions amb les que les empreses signants poden incorporar els factors ESG en els criteris d’inversió i contribuir a desenvolupar un sistema financer global més sostenible:</w:t>
      </w:r>
      <w:bookmarkStart w:id="0" w:name="_GoBack"/>
      <w:bookmarkEnd w:id="0"/>
    </w:p>
    <w:p w14:paraId="1C118FCC" w14:textId="08375EB5" w:rsidR="00A221DA" w:rsidRDefault="00A221DA" w:rsidP="00A221DA">
      <w:pPr>
        <w:pStyle w:val="Pargrafdellista"/>
        <w:widowControl w:val="0"/>
        <w:numPr>
          <w:ilvl w:val="0"/>
          <w:numId w:val="6"/>
        </w:numPr>
        <w:suppressAutoHyphens/>
        <w:autoSpaceDE w:val="0"/>
        <w:autoSpaceDN w:val="0"/>
        <w:adjustRightInd w:val="0"/>
        <w:spacing w:before="170" w:line="276" w:lineRule="auto"/>
        <w:jc w:val="both"/>
        <w:textAlignment w:val="center"/>
        <w:rPr>
          <w:rFonts w:ascii="Arial" w:hAnsi="Arial" w:cs="Arial"/>
          <w:sz w:val="22"/>
          <w:szCs w:val="22"/>
          <w:lang w:val="ca-ES"/>
        </w:rPr>
      </w:pPr>
      <w:r>
        <w:rPr>
          <w:rFonts w:ascii="Arial" w:hAnsi="Arial" w:cs="Arial"/>
          <w:sz w:val="22"/>
          <w:szCs w:val="22"/>
          <w:lang w:val="ca-ES"/>
        </w:rPr>
        <w:t>Incorporar criteris ESG en els processos d’anàlisi i adopció de decisions en matèria d’inversions.</w:t>
      </w:r>
    </w:p>
    <w:p w14:paraId="4F38EB11" w14:textId="64A6C68C" w:rsidR="00A221DA" w:rsidRDefault="00F637C9" w:rsidP="00A221DA">
      <w:pPr>
        <w:pStyle w:val="Pargrafdellista"/>
        <w:widowControl w:val="0"/>
        <w:numPr>
          <w:ilvl w:val="0"/>
          <w:numId w:val="6"/>
        </w:numPr>
        <w:suppressAutoHyphens/>
        <w:autoSpaceDE w:val="0"/>
        <w:autoSpaceDN w:val="0"/>
        <w:adjustRightInd w:val="0"/>
        <w:spacing w:before="170" w:line="276" w:lineRule="auto"/>
        <w:jc w:val="both"/>
        <w:textAlignment w:val="center"/>
        <w:rPr>
          <w:rFonts w:ascii="Arial" w:hAnsi="Arial" w:cs="Arial"/>
          <w:sz w:val="22"/>
          <w:szCs w:val="22"/>
          <w:lang w:val="ca-ES"/>
        </w:rPr>
      </w:pPr>
      <w:r>
        <w:rPr>
          <w:rFonts w:ascii="Arial" w:hAnsi="Arial" w:cs="Arial"/>
          <w:sz w:val="22"/>
          <w:szCs w:val="22"/>
          <w:lang w:val="ca-ES"/>
        </w:rPr>
        <w:t>Ser propietaris de béns actius i incorporar criteris ESG en totes les pràctiques i polítiques.</w:t>
      </w:r>
    </w:p>
    <w:p w14:paraId="6D1BE084" w14:textId="7466A1C2" w:rsidR="00F637C9" w:rsidRDefault="00F637C9" w:rsidP="00A221DA">
      <w:pPr>
        <w:pStyle w:val="Pargrafdellista"/>
        <w:widowControl w:val="0"/>
        <w:numPr>
          <w:ilvl w:val="0"/>
          <w:numId w:val="6"/>
        </w:numPr>
        <w:suppressAutoHyphens/>
        <w:autoSpaceDE w:val="0"/>
        <w:autoSpaceDN w:val="0"/>
        <w:adjustRightInd w:val="0"/>
        <w:spacing w:before="170" w:line="276" w:lineRule="auto"/>
        <w:jc w:val="both"/>
        <w:textAlignment w:val="center"/>
        <w:rPr>
          <w:rFonts w:ascii="Arial" w:hAnsi="Arial" w:cs="Arial"/>
          <w:sz w:val="22"/>
          <w:szCs w:val="22"/>
          <w:lang w:val="ca-ES"/>
        </w:rPr>
      </w:pPr>
      <w:r>
        <w:rPr>
          <w:rFonts w:ascii="Arial" w:hAnsi="Arial" w:cs="Arial"/>
          <w:sz w:val="22"/>
          <w:szCs w:val="22"/>
          <w:lang w:val="ca-ES"/>
        </w:rPr>
        <w:t>Demanar a les entitats en les que s’inverteix que publiquin les informacions apropiades sobre les qüestions ESG.</w:t>
      </w:r>
    </w:p>
    <w:p w14:paraId="20589048" w14:textId="16E662A0" w:rsidR="00F637C9" w:rsidRDefault="00F637C9" w:rsidP="00A221DA">
      <w:pPr>
        <w:pStyle w:val="Pargrafdellista"/>
        <w:widowControl w:val="0"/>
        <w:numPr>
          <w:ilvl w:val="0"/>
          <w:numId w:val="6"/>
        </w:numPr>
        <w:suppressAutoHyphens/>
        <w:autoSpaceDE w:val="0"/>
        <w:autoSpaceDN w:val="0"/>
        <w:adjustRightInd w:val="0"/>
        <w:spacing w:before="170" w:line="276" w:lineRule="auto"/>
        <w:jc w:val="both"/>
        <w:textAlignment w:val="center"/>
        <w:rPr>
          <w:rFonts w:ascii="Arial" w:hAnsi="Arial" w:cs="Arial"/>
          <w:sz w:val="22"/>
          <w:szCs w:val="22"/>
          <w:lang w:val="ca-ES"/>
        </w:rPr>
      </w:pPr>
      <w:r>
        <w:rPr>
          <w:rFonts w:ascii="Arial" w:hAnsi="Arial" w:cs="Arial"/>
          <w:sz w:val="22"/>
          <w:szCs w:val="22"/>
          <w:lang w:val="ca-ES"/>
        </w:rPr>
        <w:t>Promoure l’acceptació i aplicació dels Principis en la comunitat global d’inversions.</w:t>
      </w:r>
    </w:p>
    <w:p w14:paraId="1F624DD2" w14:textId="388C5FAE" w:rsidR="00F637C9" w:rsidRDefault="00F637C9" w:rsidP="00A221DA">
      <w:pPr>
        <w:pStyle w:val="Pargrafdellista"/>
        <w:widowControl w:val="0"/>
        <w:numPr>
          <w:ilvl w:val="0"/>
          <w:numId w:val="6"/>
        </w:numPr>
        <w:suppressAutoHyphens/>
        <w:autoSpaceDE w:val="0"/>
        <w:autoSpaceDN w:val="0"/>
        <w:adjustRightInd w:val="0"/>
        <w:spacing w:before="170" w:line="276" w:lineRule="auto"/>
        <w:jc w:val="both"/>
        <w:textAlignment w:val="center"/>
        <w:rPr>
          <w:rFonts w:ascii="Arial" w:hAnsi="Arial" w:cs="Arial"/>
          <w:sz w:val="22"/>
          <w:szCs w:val="22"/>
          <w:lang w:val="ca-ES"/>
        </w:rPr>
      </w:pPr>
      <w:r>
        <w:rPr>
          <w:rFonts w:ascii="Arial" w:hAnsi="Arial" w:cs="Arial"/>
          <w:sz w:val="22"/>
          <w:szCs w:val="22"/>
          <w:lang w:val="ca-ES"/>
        </w:rPr>
        <w:t>Col·laborar per millorar l’eficàcia en l’aplicació dels Principis.</w:t>
      </w:r>
    </w:p>
    <w:p w14:paraId="7C3F6C4D" w14:textId="595F3A81" w:rsidR="00F637C9" w:rsidRPr="00A221DA" w:rsidRDefault="00F637C9" w:rsidP="00A221DA">
      <w:pPr>
        <w:pStyle w:val="Pargrafdellista"/>
        <w:widowControl w:val="0"/>
        <w:numPr>
          <w:ilvl w:val="0"/>
          <w:numId w:val="6"/>
        </w:numPr>
        <w:suppressAutoHyphens/>
        <w:autoSpaceDE w:val="0"/>
        <w:autoSpaceDN w:val="0"/>
        <w:adjustRightInd w:val="0"/>
        <w:spacing w:before="170" w:line="276" w:lineRule="auto"/>
        <w:jc w:val="both"/>
        <w:textAlignment w:val="center"/>
        <w:rPr>
          <w:rFonts w:ascii="Arial" w:hAnsi="Arial" w:cs="Arial"/>
          <w:sz w:val="22"/>
          <w:szCs w:val="22"/>
          <w:lang w:val="ca-ES"/>
        </w:rPr>
      </w:pPr>
      <w:r>
        <w:rPr>
          <w:rFonts w:ascii="Arial" w:hAnsi="Arial" w:cs="Arial"/>
          <w:sz w:val="22"/>
          <w:szCs w:val="22"/>
          <w:lang w:val="ca-ES"/>
        </w:rPr>
        <w:t>Informar sobre activitats i progressos en l’aplicació dels Principis.</w:t>
      </w:r>
    </w:p>
    <w:p w14:paraId="1E0A81CE" w14:textId="77777777" w:rsidR="001E19F7" w:rsidRDefault="001E19F7" w:rsidP="008E1EA6">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
        </w:rPr>
      </w:pPr>
    </w:p>
    <w:p w14:paraId="14228BA3" w14:textId="77777777" w:rsidR="001E19F7" w:rsidRDefault="001E19F7" w:rsidP="008E1EA6">
      <w:pPr>
        <w:widowControl w:val="0"/>
        <w:suppressAutoHyphens/>
        <w:autoSpaceDE w:val="0"/>
        <w:autoSpaceDN w:val="0"/>
        <w:adjustRightInd w:val="0"/>
        <w:spacing w:before="170" w:line="276" w:lineRule="auto"/>
        <w:ind w:left="-426"/>
        <w:jc w:val="both"/>
        <w:textAlignment w:val="center"/>
        <w:rPr>
          <w:rFonts w:ascii="Arial" w:hAnsi="Arial" w:cs="Arial"/>
          <w:noProof/>
          <w:color w:val="000000"/>
          <w:sz w:val="22"/>
          <w:szCs w:val="22"/>
          <w:lang w:val="es-ES"/>
        </w:rPr>
      </w:pPr>
    </w:p>
    <w:sectPr w:rsidR="001E19F7" w:rsidSect="008B2408">
      <w:headerReference w:type="default" r:id="rId8"/>
      <w:footerReference w:type="even" r:id="rId9"/>
      <w:footerReference w:type="default" r:id="rId10"/>
      <w:pgSz w:w="11900" w:h="16840"/>
      <w:pgMar w:top="2552" w:right="1701" w:bottom="2268" w:left="1701" w:header="85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0B7A1" w14:textId="77777777" w:rsidR="00AF5379" w:rsidRDefault="00AF5379" w:rsidP="000360D2">
      <w:r>
        <w:separator/>
      </w:r>
    </w:p>
  </w:endnote>
  <w:endnote w:type="continuationSeparator" w:id="0">
    <w:p w14:paraId="13ACBD83" w14:textId="77777777" w:rsidR="00AF5379" w:rsidRDefault="00AF5379" w:rsidP="0003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variable"/>
  </w:font>
  <w:font w:name="MinionPro-Regular">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160F" w14:textId="77777777" w:rsidR="00B4497F" w:rsidRDefault="00711359" w:rsidP="00C90FE6">
    <w:pPr>
      <w:pStyle w:val="Peu"/>
      <w:framePr w:wrap="around" w:vAnchor="text" w:hAnchor="margin" w:xAlign="right" w:y="1"/>
      <w:rPr>
        <w:rStyle w:val="Nmerodepgina"/>
      </w:rPr>
    </w:pPr>
    <w:r>
      <w:rPr>
        <w:rStyle w:val="Nmerodepgina"/>
      </w:rPr>
      <w:fldChar w:fldCharType="begin"/>
    </w:r>
    <w:r w:rsidR="00B4497F">
      <w:rPr>
        <w:rStyle w:val="Nmerodepgina"/>
      </w:rPr>
      <w:instrText xml:space="preserve">PAGE  </w:instrText>
    </w:r>
    <w:r>
      <w:rPr>
        <w:rStyle w:val="Nmerodepgina"/>
      </w:rPr>
      <w:fldChar w:fldCharType="end"/>
    </w:r>
  </w:p>
  <w:p w14:paraId="6C1308E6" w14:textId="77777777" w:rsidR="00B4497F" w:rsidRDefault="00B4497F" w:rsidP="00DC127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0D1E" w14:textId="58C48BF0" w:rsidR="00B4497F" w:rsidRPr="00372D14" w:rsidRDefault="00711359" w:rsidP="00DC127B">
    <w:pPr>
      <w:pStyle w:val="Peu"/>
      <w:framePr w:wrap="around" w:vAnchor="text" w:hAnchor="page" w:x="10821" w:y="-320"/>
      <w:rPr>
        <w:rStyle w:val="Nmerodepgina"/>
        <w:rFonts w:ascii="Arial" w:hAnsi="Arial" w:cs="Arial"/>
        <w:color w:val="636463"/>
        <w:sz w:val="16"/>
        <w:szCs w:val="16"/>
      </w:rPr>
    </w:pPr>
    <w:r w:rsidRPr="00372D14">
      <w:rPr>
        <w:rStyle w:val="Nmerodepgina"/>
        <w:rFonts w:ascii="Arial" w:hAnsi="Arial" w:cs="Arial"/>
        <w:color w:val="636463"/>
        <w:sz w:val="16"/>
        <w:szCs w:val="16"/>
      </w:rPr>
      <w:fldChar w:fldCharType="begin"/>
    </w:r>
    <w:r w:rsidR="00B4497F" w:rsidRPr="00372D14">
      <w:rPr>
        <w:rStyle w:val="Nmerodepgina"/>
        <w:rFonts w:ascii="Arial" w:hAnsi="Arial" w:cs="Arial"/>
        <w:color w:val="636463"/>
        <w:sz w:val="16"/>
        <w:szCs w:val="16"/>
      </w:rPr>
      <w:instrText xml:space="preserve">PAGE  </w:instrText>
    </w:r>
    <w:r w:rsidRPr="00372D14">
      <w:rPr>
        <w:rStyle w:val="Nmerodepgina"/>
        <w:rFonts w:ascii="Arial" w:hAnsi="Arial" w:cs="Arial"/>
        <w:color w:val="636463"/>
        <w:sz w:val="16"/>
        <w:szCs w:val="16"/>
      </w:rPr>
      <w:fldChar w:fldCharType="separate"/>
    </w:r>
    <w:r w:rsidR="006E1797">
      <w:rPr>
        <w:rStyle w:val="Nmerodepgina"/>
        <w:rFonts w:ascii="Arial" w:hAnsi="Arial" w:cs="Arial"/>
        <w:noProof/>
        <w:color w:val="636463"/>
        <w:sz w:val="16"/>
        <w:szCs w:val="16"/>
      </w:rPr>
      <w:t>5</w:t>
    </w:r>
    <w:r w:rsidRPr="00372D14">
      <w:rPr>
        <w:rStyle w:val="Nmerodepgina"/>
        <w:rFonts w:ascii="Arial" w:hAnsi="Arial" w:cs="Arial"/>
        <w:color w:val="636463"/>
        <w:sz w:val="16"/>
        <w:szCs w:val="16"/>
      </w:rPr>
      <w:fldChar w:fldCharType="end"/>
    </w:r>
  </w:p>
  <w:p w14:paraId="0D8618DC" w14:textId="77777777" w:rsidR="00B4497F" w:rsidRDefault="008B2408" w:rsidP="004719F6">
    <w:pPr>
      <w:pStyle w:val="Peu"/>
      <w:tabs>
        <w:tab w:val="clear" w:pos="4252"/>
        <w:tab w:val="clear" w:pos="8504"/>
        <w:tab w:val="left" w:pos="2696"/>
        <w:tab w:val="center" w:pos="4069"/>
      </w:tabs>
      <w:ind w:right="360"/>
    </w:pPr>
    <w:r>
      <w:rPr>
        <w:noProof/>
        <w:lang w:val="es-ES"/>
      </w:rPr>
      <w:drawing>
        <wp:anchor distT="0" distB="0" distL="114300" distR="114300" simplePos="0" relativeHeight="251741184" behindDoc="0" locked="0" layoutInCell="1" allowOverlap="1" wp14:anchorId="578FF6FF" wp14:editId="490369D4">
          <wp:simplePos x="0" y="0"/>
          <wp:positionH relativeFrom="column">
            <wp:posOffset>1362075</wp:posOffset>
          </wp:positionH>
          <wp:positionV relativeFrom="paragraph">
            <wp:posOffset>-285750</wp:posOffset>
          </wp:positionV>
          <wp:extent cx="4272569" cy="55054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2569"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4294967294" distB="4294967294" distL="114300" distR="114300" simplePos="0" relativeHeight="251667456" behindDoc="0" locked="0" layoutInCell="1" allowOverlap="1" wp14:anchorId="22FFD803" wp14:editId="4C0EB771">
              <wp:simplePos x="0" y="0"/>
              <wp:positionH relativeFrom="margin">
                <wp:posOffset>-441960</wp:posOffset>
              </wp:positionH>
              <wp:positionV relativeFrom="page">
                <wp:posOffset>9467850</wp:posOffset>
              </wp:positionV>
              <wp:extent cx="6286500" cy="0"/>
              <wp:effectExtent l="0" t="0" r="0" b="0"/>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CE37C0" id="Conector recto 1" o:spid="_x0000_s1026" style="position:absolute;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page;mso-width-percent:0;mso-height-percent:0;mso-width-relative:page;mso-height-relative:page" from="-34.8pt,745.5pt" to="460.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" strokecolor="gray [1629]" strokeweight=".25pt">
              <o:lock v:ext="edit" shapetype="f"/>
              <w10:wrap type="topAndBottom" anchorx="margin" anchory="page"/>
            </v:line>
          </w:pict>
        </mc:Fallback>
      </mc:AlternateContent>
    </w:r>
    <w:r w:rsidR="00C80CB7">
      <w:rPr>
        <w:rFonts w:ascii="Arial" w:hAnsi="Arial" w:cs="Arial"/>
        <w:noProof/>
        <w:color w:val="636463"/>
        <w:sz w:val="16"/>
        <w:szCs w:val="16"/>
        <w:lang w:val="es-ES"/>
      </w:rPr>
      <mc:AlternateContent>
        <mc:Choice Requires="wps">
          <w:drawing>
            <wp:anchor distT="0" distB="0" distL="114300" distR="114300" simplePos="0" relativeHeight="251680768" behindDoc="0" locked="0" layoutInCell="1" allowOverlap="1" wp14:anchorId="6BA04769" wp14:editId="7EE06D6B">
              <wp:simplePos x="0" y="0"/>
              <wp:positionH relativeFrom="column">
                <wp:posOffset>-353695</wp:posOffset>
              </wp:positionH>
              <wp:positionV relativeFrom="paragraph">
                <wp:posOffset>-222250</wp:posOffset>
              </wp:positionV>
              <wp:extent cx="1573530" cy="53086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3530" cy="53086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E67B105" w14:textId="77777777" w:rsidR="00BE06CC" w:rsidRPr="00DD0A4A" w:rsidRDefault="00F27211" w:rsidP="00BE06CC">
                          <w:pPr>
                            <w:pStyle w:val="Prrafobsico"/>
                            <w:spacing w:line="240" w:lineRule="auto"/>
                            <w:rPr>
                              <w:rFonts w:ascii="Arial" w:hAnsi="Arial" w:cs="Arial"/>
                              <w:color w:val="656565"/>
                              <w:sz w:val="12"/>
                              <w:szCs w:val="12"/>
                              <w:lang w:val="es-ES"/>
                            </w:rPr>
                          </w:pPr>
                          <w:r w:rsidRPr="00DD0A4A">
                            <w:rPr>
                              <w:rFonts w:ascii="Arial" w:hAnsi="Arial" w:cs="Arial"/>
                              <w:color w:val="656565"/>
                              <w:sz w:val="12"/>
                              <w:szCs w:val="12"/>
                              <w:lang w:val="es-ES"/>
                            </w:rPr>
                            <w:t>Dirección Ejecutiva de Comunicación</w:t>
                          </w:r>
                        </w:p>
                        <w:p w14:paraId="1AFEEC47" w14:textId="77777777" w:rsidR="00BE06CC" w:rsidRPr="0025402C" w:rsidRDefault="00BE06CC" w:rsidP="00BE06CC">
                          <w:pPr>
                            <w:pStyle w:val="Prrafobsico"/>
                            <w:spacing w:line="240" w:lineRule="auto"/>
                            <w:rPr>
                              <w:rFonts w:ascii="Arial" w:hAnsi="Arial" w:cs="Arial"/>
                              <w:color w:val="656565"/>
                              <w:sz w:val="12"/>
                              <w:szCs w:val="12"/>
                            </w:rPr>
                          </w:pPr>
                          <w:r w:rsidRPr="0025402C">
                            <w:rPr>
                              <w:rFonts w:ascii="Arial" w:hAnsi="Arial" w:cs="Arial"/>
                              <w:color w:val="656565"/>
                              <w:sz w:val="12"/>
                              <w:szCs w:val="12"/>
                            </w:rPr>
                            <w:t xml:space="preserve">Tel.: +34 93 </w:t>
                          </w:r>
                          <w:r w:rsidRPr="00372D14">
                            <w:rPr>
                              <w:rFonts w:ascii="Arial" w:hAnsi="Arial" w:cs="Arial"/>
                              <w:color w:val="656565"/>
                              <w:sz w:val="12"/>
                              <w:szCs w:val="12"/>
                            </w:rPr>
                            <w:t xml:space="preserve">404 </w:t>
                          </w:r>
                          <w:r w:rsidR="004719F6">
                            <w:rPr>
                              <w:rFonts w:ascii="Arial" w:hAnsi="Arial" w:cs="Arial"/>
                              <w:color w:val="656565"/>
                              <w:sz w:val="12"/>
                              <w:szCs w:val="12"/>
                            </w:rPr>
                            <w:t>1398</w:t>
                          </w:r>
                        </w:p>
                        <w:p w14:paraId="40BB2E8B" w14:textId="77777777" w:rsidR="00BE06CC" w:rsidRPr="0025402C" w:rsidRDefault="00BE06CC" w:rsidP="00BE06CC">
                          <w:pPr>
                            <w:rPr>
                              <w:rFonts w:ascii="Arial" w:hAnsi="Arial" w:cs="Arial"/>
                              <w:color w:val="656565"/>
                              <w:sz w:val="12"/>
                              <w:szCs w:val="12"/>
                              <w:lang w:val="es-ES_tradnl"/>
                            </w:rPr>
                          </w:pPr>
                          <w:r>
                            <w:rPr>
                              <w:rFonts w:ascii="Arial" w:hAnsi="Arial" w:cs="Arial"/>
                              <w:color w:val="656565"/>
                              <w:sz w:val="12"/>
                              <w:szCs w:val="12"/>
                              <w:lang w:val="es-ES_tradnl"/>
                            </w:rPr>
                            <w:t>prensa@caixab</w:t>
                          </w:r>
                          <w:r w:rsidRPr="0025402C">
                            <w:rPr>
                              <w:rFonts w:ascii="Arial" w:hAnsi="Arial" w:cs="Arial"/>
                              <w:color w:val="656565"/>
                              <w:sz w:val="12"/>
                              <w:szCs w:val="12"/>
                              <w:lang w:val="es-ES_tradnl"/>
                            </w:rPr>
                            <w:t>ank.com</w:t>
                          </w:r>
                        </w:p>
                        <w:p w14:paraId="67F560A9" w14:textId="77777777" w:rsidR="00BE06CC" w:rsidRPr="0042506E" w:rsidRDefault="0042506E" w:rsidP="00BE06CC">
                          <w:pPr>
                            <w:rPr>
                              <w:rFonts w:ascii="Arial" w:hAnsi="Arial" w:cs="Arial"/>
                              <w:sz w:val="12"/>
                              <w:szCs w:val="12"/>
                              <w:lang w:val="es-ES_tradnl"/>
                            </w:rPr>
                          </w:pPr>
                          <w:r w:rsidRPr="0042506E">
                            <w:rPr>
                              <w:rFonts w:ascii="Arial" w:hAnsi="Arial" w:cs="Arial"/>
                              <w:color w:val="656565"/>
                              <w:sz w:val="12"/>
                              <w:szCs w:val="12"/>
                              <w:lang w:val="es-ES_tradnl"/>
                            </w:rPr>
                            <w:t>www.caixabank.com/comunicacion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A04769" id="_x0000_t202" coordsize="21600,21600" o:spt="202" path="m,l,21600r21600,l21600,xe">
              <v:stroke joinstyle="miter"/>
              <v:path gradientshapeok="t" o:connecttype="rect"/>
            </v:shapetype>
            <v:shape id="Cuadro de texto 14" o:spid="_x0000_s1028" type="#_x0000_t202" style="position:absolute;margin-left:-27.85pt;margin-top:-17.5pt;width:123.9pt;height:4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" filled="f" stroked="f">
              <v:textbox>
                <w:txbxContent>
                  <w:p w14:paraId="6E67B105" w14:textId="77777777" w:rsidR="00BE06CC" w:rsidRPr="00DD0A4A" w:rsidRDefault="00F27211" w:rsidP="00BE06CC">
                    <w:pPr>
                      <w:pStyle w:val="Prrafobsico"/>
                      <w:spacing w:line="240" w:lineRule="auto"/>
                      <w:rPr>
                        <w:rFonts w:ascii="Arial" w:hAnsi="Arial" w:cs="Arial"/>
                        <w:color w:val="656565"/>
                        <w:sz w:val="12"/>
                        <w:szCs w:val="12"/>
                        <w:lang w:val="es-ES"/>
                      </w:rPr>
                    </w:pPr>
                    <w:r w:rsidRPr="00DD0A4A">
                      <w:rPr>
                        <w:rFonts w:ascii="Arial" w:hAnsi="Arial" w:cs="Arial"/>
                        <w:color w:val="656565"/>
                        <w:sz w:val="12"/>
                        <w:szCs w:val="12"/>
                        <w:lang w:val="es-ES"/>
                      </w:rPr>
                      <w:t>Dirección Ejecutiva de Comunicación</w:t>
                    </w:r>
                  </w:p>
                  <w:p w14:paraId="1AFEEC47" w14:textId="77777777" w:rsidR="00BE06CC" w:rsidRPr="0025402C" w:rsidRDefault="00BE06CC" w:rsidP="00BE06CC">
                    <w:pPr>
                      <w:pStyle w:val="Prrafobsico"/>
                      <w:spacing w:line="240" w:lineRule="auto"/>
                      <w:rPr>
                        <w:rFonts w:ascii="Arial" w:hAnsi="Arial" w:cs="Arial"/>
                        <w:color w:val="656565"/>
                        <w:sz w:val="12"/>
                        <w:szCs w:val="12"/>
                      </w:rPr>
                    </w:pPr>
                    <w:r w:rsidRPr="0025402C">
                      <w:rPr>
                        <w:rFonts w:ascii="Arial" w:hAnsi="Arial" w:cs="Arial"/>
                        <w:color w:val="656565"/>
                        <w:sz w:val="12"/>
                        <w:szCs w:val="12"/>
                      </w:rPr>
                      <w:t xml:space="preserve">Tel.: +34 93 </w:t>
                    </w:r>
                    <w:r w:rsidRPr="00372D14">
                      <w:rPr>
                        <w:rFonts w:ascii="Arial" w:hAnsi="Arial" w:cs="Arial"/>
                        <w:color w:val="656565"/>
                        <w:sz w:val="12"/>
                        <w:szCs w:val="12"/>
                      </w:rPr>
                      <w:t xml:space="preserve">404 </w:t>
                    </w:r>
                    <w:r w:rsidR="004719F6">
                      <w:rPr>
                        <w:rFonts w:ascii="Arial" w:hAnsi="Arial" w:cs="Arial"/>
                        <w:color w:val="656565"/>
                        <w:sz w:val="12"/>
                        <w:szCs w:val="12"/>
                      </w:rPr>
                      <w:t>1398</w:t>
                    </w:r>
                  </w:p>
                  <w:p w14:paraId="40BB2E8B" w14:textId="77777777" w:rsidR="00BE06CC" w:rsidRPr="0025402C" w:rsidRDefault="00BE06CC" w:rsidP="00BE06CC">
                    <w:pPr>
                      <w:rPr>
                        <w:rFonts w:ascii="Arial" w:hAnsi="Arial" w:cs="Arial"/>
                        <w:color w:val="656565"/>
                        <w:sz w:val="12"/>
                        <w:szCs w:val="12"/>
                        <w:lang w:val="es-ES_tradnl"/>
                      </w:rPr>
                    </w:pPr>
                    <w:r>
                      <w:rPr>
                        <w:rFonts w:ascii="Arial" w:hAnsi="Arial" w:cs="Arial"/>
                        <w:color w:val="656565"/>
                        <w:sz w:val="12"/>
                        <w:szCs w:val="12"/>
                        <w:lang w:val="es-ES_tradnl"/>
                      </w:rPr>
                      <w:t>prensa@caixab</w:t>
                    </w:r>
                    <w:r w:rsidRPr="0025402C">
                      <w:rPr>
                        <w:rFonts w:ascii="Arial" w:hAnsi="Arial" w:cs="Arial"/>
                        <w:color w:val="656565"/>
                        <w:sz w:val="12"/>
                        <w:szCs w:val="12"/>
                        <w:lang w:val="es-ES_tradnl"/>
                      </w:rPr>
                      <w:t>ank.com</w:t>
                    </w:r>
                  </w:p>
                  <w:p w14:paraId="67F560A9" w14:textId="77777777" w:rsidR="00BE06CC" w:rsidRPr="0042506E" w:rsidRDefault="0042506E" w:rsidP="00BE06CC">
                    <w:pPr>
                      <w:rPr>
                        <w:rFonts w:ascii="Arial" w:hAnsi="Arial" w:cs="Arial"/>
                        <w:sz w:val="12"/>
                        <w:szCs w:val="12"/>
                        <w:lang w:val="es-ES_tradnl"/>
                      </w:rPr>
                    </w:pPr>
                    <w:r w:rsidRPr="0042506E">
                      <w:rPr>
                        <w:rFonts w:ascii="Arial" w:hAnsi="Arial" w:cs="Arial"/>
                        <w:color w:val="656565"/>
                        <w:sz w:val="12"/>
                        <w:szCs w:val="12"/>
                        <w:lang w:val="es-ES_tradnl"/>
                      </w:rPr>
                      <w:t>www.caixabank.com/comunicacion</w:t>
                    </w:r>
                  </w:p>
                </w:txbxContent>
              </v:textbox>
            </v:shape>
          </w:pict>
        </mc:Fallback>
      </mc:AlternateContent>
    </w:r>
    <w:r w:rsidR="003E2E97">
      <w:tab/>
    </w:r>
    <w:r w:rsidR="004719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EB408" w14:textId="77777777" w:rsidR="00AF5379" w:rsidRDefault="00AF5379" w:rsidP="000360D2">
      <w:r>
        <w:separator/>
      </w:r>
    </w:p>
  </w:footnote>
  <w:footnote w:type="continuationSeparator" w:id="0">
    <w:p w14:paraId="65D9F263" w14:textId="77777777" w:rsidR="00AF5379" w:rsidRDefault="00AF5379" w:rsidP="0003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B921" w14:textId="77777777" w:rsidR="00792603" w:rsidRDefault="00BF428F">
    <w:pPr>
      <w:pStyle w:val="Capalera"/>
    </w:pPr>
    <w:r>
      <w:rPr>
        <w:noProof/>
        <w:lang w:val="es-ES"/>
      </w:rPr>
      <mc:AlternateContent>
        <mc:Choice Requires="wps">
          <w:drawing>
            <wp:anchor distT="0" distB="0" distL="114300" distR="114300" simplePos="0" relativeHeight="251679744" behindDoc="0" locked="0" layoutInCell="1" allowOverlap="1" wp14:anchorId="0BBFFF8F" wp14:editId="5FBBC10D">
              <wp:simplePos x="0" y="0"/>
              <wp:positionH relativeFrom="column">
                <wp:posOffset>3928256</wp:posOffset>
              </wp:positionH>
              <wp:positionV relativeFrom="paragraph">
                <wp:posOffset>122555</wp:posOffset>
              </wp:positionV>
              <wp:extent cx="1865630" cy="233680"/>
              <wp:effectExtent l="0" t="0" r="13970" b="20320"/>
              <wp:wrapThrough wrapText="bothSides">
                <wp:wrapPolygon edited="0">
                  <wp:start x="0" y="0"/>
                  <wp:lineTo x="0" y="21130"/>
                  <wp:lineTo x="21468" y="21130"/>
                  <wp:lineTo x="21468" y="0"/>
                  <wp:lineTo x="0" y="0"/>
                </wp:wrapPolygon>
              </wp:wrapThrough>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5630" cy="23368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2D29FD4" w14:textId="7E7050F5" w:rsidR="00BE06CC" w:rsidRPr="00C3559C" w:rsidRDefault="00C3559C" w:rsidP="00BE06CC">
                          <w:pPr>
                            <w:rPr>
                              <w:rFonts w:ascii="Arial" w:hAnsi="Arial" w:cs="Arial"/>
                              <w:b/>
                              <w:i/>
                              <w:color w:val="595959" w:themeColor="text1" w:themeTint="A6"/>
                              <w:sz w:val="32"/>
                              <w:szCs w:val="32"/>
                              <w:lang w:val="es-ES"/>
                            </w:rPr>
                          </w:pPr>
                          <w:r>
                            <w:rPr>
                              <w:rFonts w:ascii="Arial" w:hAnsi="Arial" w:cs="Arial"/>
                              <w:b/>
                              <w:i/>
                              <w:color w:val="595959" w:themeColor="text1" w:themeTint="A6"/>
                              <w:sz w:val="32"/>
                              <w:szCs w:val="32"/>
                              <w:lang w:val="es-ES"/>
                            </w:rPr>
                            <w:t>NOTA DE PRE</w:t>
                          </w:r>
                          <w:r w:rsidR="00A40F19">
                            <w:rPr>
                              <w:rFonts w:ascii="Arial" w:hAnsi="Arial" w:cs="Arial"/>
                              <w:b/>
                              <w:i/>
                              <w:color w:val="595959" w:themeColor="text1" w:themeTint="A6"/>
                              <w:sz w:val="32"/>
                              <w:szCs w:val="32"/>
                              <w:lang w:val="es-ES"/>
                            </w:rPr>
                            <w:t>M</w:t>
                          </w:r>
                          <w:r>
                            <w:rPr>
                              <w:rFonts w:ascii="Arial" w:hAnsi="Arial" w:cs="Arial"/>
                              <w:b/>
                              <w:i/>
                              <w:color w:val="595959" w:themeColor="text1" w:themeTint="A6"/>
                              <w:sz w:val="32"/>
                              <w:szCs w:val="32"/>
                              <w:lang w:val="es-ES"/>
                            </w:rPr>
                            <w:t>SA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FFF8F" id="_x0000_t202" coordsize="21600,21600" o:spt="202" path="m,l,21600r21600,l21600,xe">
              <v:stroke joinstyle="miter"/>
              <v:path gradientshapeok="t" o:connecttype="rect"/>
            </v:shapetype>
            <v:shape id="Cuadro de texto 11" o:spid="_x0000_s1026" type="#_x0000_t202" style="position:absolute;margin-left:309.3pt;margin-top:9.65pt;width:146.9pt;height:18.4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" filled="f" stroked="f">
              <v:textbox inset="0,0,0,0">
                <w:txbxContent>
                  <w:p w14:paraId="02D29FD4" w14:textId="7E7050F5" w:rsidR="00BE06CC" w:rsidRPr="00C3559C" w:rsidRDefault="00C3559C" w:rsidP="00BE06CC">
                    <w:pPr>
                      <w:rPr>
                        <w:rFonts w:ascii="Arial" w:hAnsi="Arial" w:cs="Arial"/>
                        <w:b/>
                        <w:i/>
                        <w:color w:val="595959" w:themeColor="text1" w:themeTint="A6"/>
                        <w:sz w:val="32"/>
                        <w:szCs w:val="32"/>
                        <w:lang w:val="es-ES"/>
                      </w:rPr>
                    </w:pPr>
                    <w:r>
                      <w:rPr>
                        <w:rFonts w:ascii="Arial" w:hAnsi="Arial" w:cs="Arial"/>
                        <w:b/>
                        <w:i/>
                        <w:color w:val="595959" w:themeColor="text1" w:themeTint="A6"/>
                        <w:sz w:val="32"/>
                        <w:szCs w:val="32"/>
                        <w:lang w:val="es-ES"/>
                      </w:rPr>
                      <w:t>NOTA DE PRE</w:t>
                    </w:r>
                    <w:r w:rsidR="00A40F19">
                      <w:rPr>
                        <w:rFonts w:ascii="Arial" w:hAnsi="Arial" w:cs="Arial"/>
                        <w:b/>
                        <w:i/>
                        <w:color w:val="595959" w:themeColor="text1" w:themeTint="A6"/>
                        <w:sz w:val="32"/>
                        <w:szCs w:val="32"/>
                        <w:lang w:val="es-ES"/>
                      </w:rPr>
                      <w:t>M</w:t>
                    </w:r>
                    <w:r>
                      <w:rPr>
                        <w:rFonts w:ascii="Arial" w:hAnsi="Arial" w:cs="Arial"/>
                        <w:b/>
                        <w:i/>
                        <w:color w:val="595959" w:themeColor="text1" w:themeTint="A6"/>
                        <w:sz w:val="32"/>
                        <w:szCs w:val="32"/>
                        <w:lang w:val="es-ES"/>
                      </w:rPr>
                      <w:t>SA</w:t>
                    </w:r>
                  </w:p>
                </w:txbxContent>
              </v:textbox>
              <w10:wrap type="through"/>
            </v:shape>
          </w:pict>
        </mc:Fallback>
      </mc:AlternateContent>
    </w:r>
    <w:r w:rsidR="006E6E19">
      <w:rPr>
        <w:rFonts w:ascii="Arial" w:hAnsi="Arial" w:cs="Arial"/>
        <w:b/>
        <w:i/>
        <w:noProof/>
        <w:color w:val="404040" w:themeColor="text1" w:themeTint="BF"/>
        <w:sz w:val="22"/>
        <w:szCs w:val="22"/>
        <w:lang w:val="es-ES"/>
      </w:rPr>
      <w:drawing>
        <wp:anchor distT="0" distB="0" distL="114300" distR="114300" simplePos="0" relativeHeight="251740160" behindDoc="1" locked="0" layoutInCell="1" allowOverlap="1" wp14:anchorId="40EA0117" wp14:editId="6C38A260">
          <wp:simplePos x="0" y="0"/>
          <wp:positionH relativeFrom="column">
            <wp:posOffset>-461010</wp:posOffset>
          </wp:positionH>
          <wp:positionV relativeFrom="paragraph">
            <wp:posOffset>-24765</wp:posOffset>
          </wp:positionV>
          <wp:extent cx="1633220" cy="366395"/>
          <wp:effectExtent l="0" t="0" r="0" b="0"/>
          <wp:wrapTight wrapText="bothSides">
            <wp:wrapPolygon edited="0">
              <wp:start x="0" y="0"/>
              <wp:lineTo x="0" y="20215"/>
              <wp:lineTo x="21415" y="20215"/>
              <wp:lineTo x="21415" y="0"/>
              <wp:lineTo x="0" y="0"/>
            </wp:wrapPolygon>
          </wp:wrapTight>
          <wp:docPr id="2" name="Imagen 2" descr="C:\Users\U0146423\AppData\Local\Microsoft\Windows\INetCache\Content.Word\CaixaBank_logo_color_CMYK_horizontal_fondo_blanco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0146423\AppData\Local\Microsoft\Windows\INetCache\Content.Word\CaixaBank_logo_color_CMYK_horizontal_fondo_blanco cop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62" t="14406" r="2503" b="16267"/>
                  <a:stretch/>
                </pic:blipFill>
                <pic:spPr bwMode="auto">
                  <a:xfrm>
                    <a:off x="0" y="0"/>
                    <a:ext cx="1633220" cy="366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71552" behindDoc="0" locked="0" layoutInCell="1" allowOverlap="1" wp14:anchorId="53BA209B" wp14:editId="2681AB28">
              <wp:simplePos x="0" y="0"/>
              <wp:positionH relativeFrom="column">
                <wp:posOffset>-458470</wp:posOffset>
              </wp:positionH>
              <wp:positionV relativeFrom="paragraph">
                <wp:posOffset>465455</wp:posOffset>
              </wp:positionV>
              <wp:extent cx="6248400" cy="179705"/>
              <wp:effectExtent l="0" t="0" r="0" b="0"/>
              <wp:wrapThrough wrapText="bothSides">
                <wp:wrapPolygon edited="0">
                  <wp:start x="0" y="0"/>
                  <wp:lineTo x="0" y="19845"/>
                  <wp:lineTo x="21556" y="19845"/>
                  <wp:lineTo x="21556" y="0"/>
                  <wp:lineTo x="0" y="0"/>
                </wp:wrapPolygon>
              </wp:wrapThrough>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9705"/>
                      </a:xfrm>
                      <a:prstGeom prst="rect">
                        <a:avLst/>
                      </a:prstGeom>
                      <a:solidFill>
                        <a:srgbClr val="DBDEDD"/>
                      </a:solidFill>
                      <a:ln>
                        <a:noFill/>
                      </a:ln>
                      <a:effectLst/>
                    </wps:spPr>
                    <wps:style>
                      <a:lnRef idx="1">
                        <a:schemeClr val="accent1"/>
                      </a:lnRef>
                      <a:fillRef idx="3">
                        <a:schemeClr val="accent1"/>
                      </a:fillRef>
                      <a:effectRef idx="2">
                        <a:schemeClr val="accent1"/>
                      </a:effectRef>
                      <a:fontRef idx="minor">
                        <a:schemeClr val="lt1"/>
                      </a:fontRef>
                    </wps:style>
                    <wps:txbx>
                      <w:txbxContent>
                        <w:p w14:paraId="6DCD4BF1" w14:textId="77777777" w:rsidR="00792603" w:rsidRDefault="00792603" w:rsidP="00792603">
                          <w:pPr>
                            <w:jc w:val="center"/>
                          </w:pPr>
                        </w:p>
                        <w:p w14:paraId="77E758C7" w14:textId="77777777" w:rsidR="00792603" w:rsidRDefault="00792603" w:rsidP="007926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A209B" id="Rectángulo 17" o:spid="_x0000_s1027" style="position:absolute;margin-left:-36.1pt;margin-top:36.65pt;width:492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" fillcolor="#dbdedd" stroked="f">
              <v:textbox>
                <w:txbxContent>
                  <w:p w14:paraId="6DCD4BF1" w14:textId="77777777" w:rsidR="00792603" w:rsidRDefault="00792603" w:rsidP="00792603">
                    <w:pPr>
                      <w:jc w:val="center"/>
                    </w:pPr>
                  </w:p>
                  <w:p w14:paraId="77E758C7" w14:textId="77777777" w:rsidR="00792603" w:rsidRDefault="00792603" w:rsidP="00792603"/>
                </w:txbxContent>
              </v:textbox>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E2D"/>
    <w:multiLevelType w:val="hybridMultilevel"/>
    <w:tmpl w:val="F8186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F73691"/>
    <w:multiLevelType w:val="hybridMultilevel"/>
    <w:tmpl w:val="408A7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754446"/>
    <w:multiLevelType w:val="multilevel"/>
    <w:tmpl w:val="408A7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96652E"/>
    <w:multiLevelType w:val="hybridMultilevel"/>
    <w:tmpl w:val="C7942E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8A4597D"/>
    <w:multiLevelType w:val="hybridMultilevel"/>
    <w:tmpl w:val="95CFB9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8C51B2C"/>
    <w:multiLevelType w:val="hybridMultilevel"/>
    <w:tmpl w:val="5F48D7FE"/>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ED"/>
    <w:rsid w:val="00001CE6"/>
    <w:rsid w:val="00003086"/>
    <w:rsid w:val="00006A67"/>
    <w:rsid w:val="0001284E"/>
    <w:rsid w:val="000360D2"/>
    <w:rsid w:val="0005000A"/>
    <w:rsid w:val="00050025"/>
    <w:rsid w:val="00053626"/>
    <w:rsid w:val="000A071D"/>
    <w:rsid w:val="000B56B9"/>
    <w:rsid w:val="000B722D"/>
    <w:rsid w:val="000C5A8A"/>
    <w:rsid w:val="00101BDD"/>
    <w:rsid w:val="00101F4E"/>
    <w:rsid w:val="0010672E"/>
    <w:rsid w:val="001106D0"/>
    <w:rsid w:val="00114F0A"/>
    <w:rsid w:val="0011586D"/>
    <w:rsid w:val="00157A06"/>
    <w:rsid w:val="00162B33"/>
    <w:rsid w:val="00165094"/>
    <w:rsid w:val="00174DFC"/>
    <w:rsid w:val="00180B3A"/>
    <w:rsid w:val="00185E83"/>
    <w:rsid w:val="0019644D"/>
    <w:rsid w:val="00196918"/>
    <w:rsid w:val="001A12C9"/>
    <w:rsid w:val="001E19F7"/>
    <w:rsid w:val="001F4ECD"/>
    <w:rsid w:val="002140BF"/>
    <w:rsid w:val="00214571"/>
    <w:rsid w:val="00217981"/>
    <w:rsid w:val="00227940"/>
    <w:rsid w:val="002364DA"/>
    <w:rsid w:val="00267FF2"/>
    <w:rsid w:val="002827AD"/>
    <w:rsid w:val="0029003A"/>
    <w:rsid w:val="00291ECE"/>
    <w:rsid w:val="002A07C0"/>
    <w:rsid w:val="002A1C88"/>
    <w:rsid w:val="002A4AE6"/>
    <w:rsid w:val="002B292E"/>
    <w:rsid w:val="002C02D9"/>
    <w:rsid w:val="002D4006"/>
    <w:rsid w:val="002D6122"/>
    <w:rsid w:val="002D7142"/>
    <w:rsid w:val="002E7A83"/>
    <w:rsid w:val="002F2DB2"/>
    <w:rsid w:val="002F3DED"/>
    <w:rsid w:val="002F43E2"/>
    <w:rsid w:val="0030078B"/>
    <w:rsid w:val="00305A38"/>
    <w:rsid w:val="00352F6A"/>
    <w:rsid w:val="00356812"/>
    <w:rsid w:val="00362E28"/>
    <w:rsid w:val="0036658D"/>
    <w:rsid w:val="00372D14"/>
    <w:rsid w:val="003751C2"/>
    <w:rsid w:val="00376C43"/>
    <w:rsid w:val="003E2E97"/>
    <w:rsid w:val="003F2FBF"/>
    <w:rsid w:val="00420468"/>
    <w:rsid w:val="0042506E"/>
    <w:rsid w:val="00431A19"/>
    <w:rsid w:val="00434B95"/>
    <w:rsid w:val="00434CD8"/>
    <w:rsid w:val="00445F6B"/>
    <w:rsid w:val="0045231F"/>
    <w:rsid w:val="00452CE8"/>
    <w:rsid w:val="0045774D"/>
    <w:rsid w:val="00457A9D"/>
    <w:rsid w:val="00460EEF"/>
    <w:rsid w:val="004648FD"/>
    <w:rsid w:val="004719F6"/>
    <w:rsid w:val="0049755F"/>
    <w:rsid w:val="004A6D61"/>
    <w:rsid w:val="004A70CA"/>
    <w:rsid w:val="004D5441"/>
    <w:rsid w:val="004E4A9E"/>
    <w:rsid w:val="004F444E"/>
    <w:rsid w:val="00505E03"/>
    <w:rsid w:val="00512A3B"/>
    <w:rsid w:val="00535CC5"/>
    <w:rsid w:val="0054221F"/>
    <w:rsid w:val="00542949"/>
    <w:rsid w:val="00547BE0"/>
    <w:rsid w:val="005777F8"/>
    <w:rsid w:val="005A7E19"/>
    <w:rsid w:val="005B0BC9"/>
    <w:rsid w:val="005E76EB"/>
    <w:rsid w:val="006036F0"/>
    <w:rsid w:val="006232D3"/>
    <w:rsid w:val="00624802"/>
    <w:rsid w:val="00631993"/>
    <w:rsid w:val="00645841"/>
    <w:rsid w:val="00647753"/>
    <w:rsid w:val="00647F7A"/>
    <w:rsid w:val="00655BAB"/>
    <w:rsid w:val="00664F44"/>
    <w:rsid w:val="0068617F"/>
    <w:rsid w:val="006B39AC"/>
    <w:rsid w:val="006C0A08"/>
    <w:rsid w:val="006C4C86"/>
    <w:rsid w:val="006C650A"/>
    <w:rsid w:val="006D2F50"/>
    <w:rsid w:val="006D7DD9"/>
    <w:rsid w:val="006E1797"/>
    <w:rsid w:val="006E6E19"/>
    <w:rsid w:val="006F0DF8"/>
    <w:rsid w:val="0070724C"/>
    <w:rsid w:val="00711359"/>
    <w:rsid w:val="00746350"/>
    <w:rsid w:val="007670EC"/>
    <w:rsid w:val="00771484"/>
    <w:rsid w:val="00792603"/>
    <w:rsid w:val="007A5F2C"/>
    <w:rsid w:val="007B3DB9"/>
    <w:rsid w:val="007D2310"/>
    <w:rsid w:val="007E39C2"/>
    <w:rsid w:val="007F0E7B"/>
    <w:rsid w:val="007F74D3"/>
    <w:rsid w:val="00841EED"/>
    <w:rsid w:val="00864CB0"/>
    <w:rsid w:val="0086613C"/>
    <w:rsid w:val="008750C0"/>
    <w:rsid w:val="00880795"/>
    <w:rsid w:val="008826E7"/>
    <w:rsid w:val="008915B2"/>
    <w:rsid w:val="00892FD5"/>
    <w:rsid w:val="008A1FB3"/>
    <w:rsid w:val="008A3229"/>
    <w:rsid w:val="008B2408"/>
    <w:rsid w:val="008B3E6B"/>
    <w:rsid w:val="008B7E1B"/>
    <w:rsid w:val="008C2E6D"/>
    <w:rsid w:val="008C38B7"/>
    <w:rsid w:val="008C5DDB"/>
    <w:rsid w:val="008D5764"/>
    <w:rsid w:val="008D6E56"/>
    <w:rsid w:val="008E1EA6"/>
    <w:rsid w:val="008F076F"/>
    <w:rsid w:val="008F21AE"/>
    <w:rsid w:val="008F653A"/>
    <w:rsid w:val="009014B6"/>
    <w:rsid w:val="00903682"/>
    <w:rsid w:val="009036E5"/>
    <w:rsid w:val="009152DA"/>
    <w:rsid w:val="009243CC"/>
    <w:rsid w:val="0095723C"/>
    <w:rsid w:val="00963A60"/>
    <w:rsid w:val="00971C7B"/>
    <w:rsid w:val="009770AC"/>
    <w:rsid w:val="00984298"/>
    <w:rsid w:val="009A610B"/>
    <w:rsid w:val="009B385B"/>
    <w:rsid w:val="009B6AA5"/>
    <w:rsid w:val="009B7371"/>
    <w:rsid w:val="009C529A"/>
    <w:rsid w:val="009D3535"/>
    <w:rsid w:val="009D4105"/>
    <w:rsid w:val="009F6877"/>
    <w:rsid w:val="00A00D99"/>
    <w:rsid w:val="00A045CF"/>
    <w:rsid w:val="00A05EC1"/>
    <w:rsid w:val="00A173A3"/>
    <w:rsid w:val="00A17789"/>
    <w:rsid w:val="00A221DA"/>
    <w:rsid w:val="00A323EF"/>
    <w:rsid w:val="00A372E0"/>
    <w:rsid w:val="00A40F19"/>
    <w:rsid w:val="00A44C30"/>
    <w:rsid w:val="00A504C1"/>
    <w:rsid w:val="00A53760"/>
    <w:rsid w:val="00A53D1C"/>
    <w:rsid w:val="00A56D02"/>
    <w:rsid w:val="00A70103"/>
    <w:rsid w:val="00A82213"/>
    <w:rsid w:val="00A93F39"/>
    <w:rsid w:val="00AA4428"/>
    <w:rsid w:val="00AA508A"/>
    <w:rsid w:val="00AE241D"/>
    <w:rsid w:val="00AF5379"/>
    <w:rsid w:val="00B01C60"/>
    <w:rsid w:val="00B04665"/>
    <w:rsid w:val="00B06189"/>
    <w:rsid w:val="00B24524"/>
    <w:rsid w:val="00B30A8D"/>
    <w:rsid w:val="00B3261B"/>
    <w:rsid w:val="00B366B0"/>
    <w:rsid w:val="00B41DCF"/>
    <w:rsid w:val="00B4497F"/>
    <w:rsid w:val="00B53385"/>
    <w:rsid w:val="00B56B39"/>
    <w:rsid w:val="00B74AD1"/>
    <w:rsid w:val="00B91B79"/>
    <w:rsid w:val="00BA124E"/>
    <w:rsid w:val="00BD64B9"/>
    <w:rsid w:val="00BE06CC"/>
    <w:rsid w:val="00BE5B0E"/>
    <w:rsid w:val="00BE6694"/>
    <w:rsid w:val="00BF428F"/>
    <w:rsid w:val="00C06788"/>
    <w:rsid w:val="00C10BFE"/>
    <w:rsid w:val="00C3559C"/>
    <w:rsid w:val="00C41D70"/>
    <w:rsid w:val="00C456B6"/>
    <w:rsid w:val="00C53212"/>
    <w:rsid w:val="00C67096"/>
    <w:rsid w:val="00C7146C"/>
    <w:rsid w:val="00C80CB7"/>
    <w:rsid w:val="00C813C0"/>
    <w:rsid w:val="00C86426"/>
    <w:rsid w:val="00C90FE6"/>
    <w:rsid w:val="00C93EA8"/>
    <w:rsid w:val="00CB5C2D"/>
    <w:rsid w:val="00CC71D8"/>
    <w:rsid w:val="00CD7E8A"/>
    <w:rsid w:val="00D1315A"/>
    <w:rsid w:val="00D13EBB"/>
    <w:rsid w:val="00D142CB"/>
    <w:rsid w:val="00D15235"/>
    <w:rsid w:val="00D235CA"/>
    <w:rsid w:val="00D26385"/>
    <w:rsid w:val="00D42416"/>
    <w:rsid w:val="00D5457C"/>
    <w:rsid w:val="00D57084"/>
    <w:rsid w:val="00D64427"/>
    <w:rsid w:val="00D82A54"/>
    <w:rsid w:val="00D86B07"/>
    <w:rsid w:val="00D93979"/>
    <w:rsid w:val="00DA659F"/>
    <w:rsid w:val="00DB2462"/>
    <w:rsid w:val="00DC127B"/>
    <w:rsid w:val="00DC6C6D"/>
    <w:rsid w:val="00DD0A4A"/>
    <w:rsid w:val="00E1065F"/>
    <w:rsid w:val="00E160EF"/>
    <w:rsid w:val="00E61E97"/>
    <w:rsid w:val="00E76989"/>
    <w:rsid w:val="00E8292F"/>
    <w:rsid w:val="00E8319A"/>
    <w:rsid w:val="00E95844"/>
    <w:rsid w:val="00EA3A22"/>
    <w:rsid w:val="00EB5A48"/>
    <w:rsid w:val="00F117DA"/>
    <w:rsid w:val="00F15381"/>
    <w:rsid w:val="00F15387"/>
    <w:rsid w:val="00F15DA7"/>
    <w:rsid w:val="00F22D58"/>
    <w:rsid w:val="00F27211"/>
    <w:rsid w:val="00F32921"/>
    <w:rsid w:val="00F53F0D"/>
    <w:rsid w:val="00F637C9"/>
    <w:rsid w:val="00F717C5"/>
    <w:rsid w:val="00F750AB"/>
    <w:rsid w:val="00F753F3"/>
    <w:rsid w:val="00F77C80"/>
    <w:rsid w:val="00F841B1"/>
    <w:rsid w:val="00F858FB"/>
    <w:rsid w:val="00FA06EF"/>
    <w:rsid w:val="00FB1045"/>
    <w:rsid w:val="00FB648B"/>
    <w:rsid w:val="00FE71AC"/>
    <w:rsid w:val="00FF31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0099D4"/>
  <w15:docId w15:val="{87344A25-A4EA-43AD-A374-1CDB38B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A08"/>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841EED"/>
    <w:rPr>
      <w:rFonts w:ascii="Lucida Grande" w:hAnsi="Lucida Grande" w:cs="Lucida Grande"/>
      <w:sz w:val="18"/>
      <w:szCs w:val="18"/>
    </w:rPr>
  </w:style>
  <w:style w:type="character" w:customStyle="1" w:styleId="TextdeglobusCar">
    <w:name w:val="Text de globus Car"/>
    <w:basedOn w:val="Lletraperdefectedelpargraf"/>
    <w:link w:val="Textdeglobus"/>
    <w:uiPriority w:val="99"/>
    <w:semiHidden/>
    <w:rsid w:val="00841EED"/>
    <w:rPr>
      <w:rFonts w:ascii="Lucida Grande" w:hAnsi="Lucida Grande" w:cs="Lucida Grande"/>
      <w:sz w:val="18"/>
      <w:szCs w:val="18"/>
    </w:rPr>
  </w:style>
  <w:style w:type="paragraph" w:customStyle="1" w:styleId="Prrafobsico">
    <w:name w:val="[Párrafo básico]"/>
    <w:basedOn w:val="Normal"/>
    <w:uiPriority w:val="99"/>
    <w:rsid w:val="008D6E56"/>
    <w:pPr>
      <w:widowControl w:val="0"/>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Capalera">
    <w:name w:val="header"/>
    <w:basedOn w:val="Normal"/>
    <w:link w:val="CapaleraCar"/>
    <w:uiPriority w:val="99"/>
    <w:unhideWhenUsed/>
    <w:rsid w:val="000360D2"/>
    <w:pPr>
      <w:tabs>
        <w:tab w:val="center" w:pos="4252"/>
        <w:tab w:val="right" w:pos="8504"/>
      </w:tabs>
    </w:pPr>
  </w:style>
  <w:style w:type="character" w:customStyle="1" w:styleId="CapaleraCar">
    <w:name w:val="Capçalera Car"/>
    <w:basedOn w:val="Lletraperdefectedelpargraf"/>
    <w:link w:val="Capalera"/>
    <w:uiPriority w:val="99"/>
    <w:rsid w:val="000360D2"/>
  </w:style>
  <w:style w:type="paragraph" w:styleId="Peu">
    <w:name w:val="footer"/>
    <w:basedOn w:val="Normal"/>
    <w:link w:val="PeuCar"/>
    <w:uiPriority w:val="99"/>
    <w:unhideWhenUsed/>
    <w:rsid w:val="000360D2"/>
    <w:pPr>
      <w:tabs>
        <w:tab w:val="center" w:pos="4252"/>
        <w:tab w:val="right" w:pos="8504"/>
      </w:tabs>
    </w:pPr>
  </w:style>
  <w:style w:type="character" w:customStyle="1" w:styleId="PeuCar">
    <w:name w:val="Peu Car"/>
    <w:basedOn w:val="Lletraperdefectedelpargraf"/>
    <w:link w:val="Peu"/>
    <w:uiPriority w:val="99"/>
    <w:rsid w:val="000360D2"/>
  </w:style>
  <w:style w:type="paragraph" w:styleId="Pargrafdellista">
    <w:name w:val="List Paragraph"/>
    <w:basedOn w:val="Normal"/>
    <w:uiPriority w:val="34"/>
    <w:qFormat/>
    <w:rsid w:val="006C0A08"/>
    <w:pPr>
      <w:ind w:left="720"/>
      <w:contextualSpacing/>
    </w:pPr>
  </w:style>
  <w:style w:type="character" w:styleId="Nmerodepgina">
    <w:name w:val="page number"/>
    <w:basedOn w:val="Lletraperdefectedelpargraf"/>
    <w:uiPriority w:val="99"/>
    <w:semiHidden/>
    <w:unhideWhenUsed/>
    <w:rsid w:val="00DC127B"/>
  </w:style>
  <w:style w:type="character" w:styleId="Enlla">
    <w:name w:val="Hyperlink"/>
    <w:basedOn w:val="Lletraperdefectedelpargraf"/>
    <w:uiPriority w:val="99"/>
    <w:unhideWhenUsed/>
    <w:rsid w:val="00227940"/>
    <w:rPr>
      <w:color w:val="0000FF" w:themeColor="hyperlink"/>
      <w:u w:val="single"/>
    </w:rPr>
  </w:style>
  <w:style w:type="paragraph" w:customStyle="1" w:styleId="Default">
    <w:name w:val="Default"/>
    <w:rsid w:val="005777F8"/>
    <w:pPr>
      <w:autoSpaceDE w:val="0"/>
      <w:autoSpaceDN w:val="0"/>
      <w:adjustRightInd w:val="0"/>
    </w:pPr>
    <w:rPr>
      <w:rFonts w:ascii="Calibri" w:hAnsi="Calibri" w:cs="Calibri"/>
      <w:color w:val="000000"/>
      <w:lang w:val="es-ES"/>
    </w:rPr>
  </w:style>
  <w:style w:type="character" w:styleId="Refernciadecomentari">
    <w:name w:val="annotation reference"/>
    <w:basedOn w:val="Lletraperdefectedelpargraf"/>
    <w:uiPriority w:val="99"/>
    <w:semiHidden/>
    <w:unhideWhenUsed/>
    <w:rsid w:val="00001CE6"/>
    <w:rPr>
      <w:sz w:val="16"/>
      <w:szCs w:val="16"/>
    </w:rPr>
  </w:style>
  <w:style w:type="paragraph" w:styleId="Textdecomentari">
    <w:name w:val="annotation text"/>
    <w:basedOn w:val="Normal"/>
    <w:link w:val="TextdecomentariCar"/>
    <w:uiPriority w:val="99"/>
    <w:semiHidden/>
    <w:unhideWhenUsed/>
    <w:rsid w:val="00001CE6"/>
    <w:rPr>
      <w:sz w:val="20"/>
      <w:szCs w:val="20"/>
    </w:rPr>
  </w:style>
  <w:style w:type="character" w:customStyle="1" w:styleId="TextdecomentariCar">
    <w:name w:val="Text de comentari Car"/>
    <w:basedOn w:val="Lletraperdefectedelpargraf"/>
    <w:link w:val="Textdecomentari"/>
    <w:uiPriority w:val="99"/>
    <w:semiHidden/>
    <w:rsid w:val="00001CE6"/>
    <w:rPr>
      <w:sz w:val="20"/>
      <w:szCs w:val="20"/>
    </w:rPr>
  </w:style>
  <w:style w:type="paragraph" w:styleId="Temadelcomentari">
    <w:name w:val="annotation subject"/>
    <w:basedOn w:val="Textdecomentari"/>
    <w:next w:val="Textdecomentari"/>
    <w:link w:val="TemadelcomentariCar"/>
    <w:uiPriority w:val="99"/>
    <w:semiHidden/>
    <w:unhideWhenUsed/>
    <w:rsid w:val="00001CE6"/>
    <w:rPr>
      <w:b/>
      <w:bCs/>
    </w:rPr>
  </w:style>
  <w:style w:type="character" w:customStyle="1" w:styleId="TemadelcomentariCar">
    <w:name w:val="Tema del comentari Car"/>
    <w:basedOn w:val="TextdecomentariCar"/>
    <w:link w:val="Temadelcomentari"/>
    <w:uiPriority w:val="99"/>
    <w:semiHidden/>
    <w:rsid w:val="00001CE6"/>
    <w:rPr>
      <w:b/>
      <w:bCs/>
      <w:sz w:val="20"/>
      <w:szCs w:val="20"/>
    </w:rPr>
  </w:style>
  <w:style w:type="character" w:styleId="mfasi">
    <w:name w:val="Emphasis"/>
    <w:basedOn w:val="Lletraperdefectedelpargraf"/>
    <w:uiPriority w:val="20"/>
    <w:qFormat/>
    <w:rsid w:val="00903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5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E113-E824-47AB-8CDA-5424E932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1524</Words>
  <Characters>8690</Characters>
  <Application>Microsoft Office Word</Application>
  <DocSecurity>0</DocSecurity>
  <Lines>72</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Personalizacion.MSP</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JOAN ARMENGOL DOMINGO</cp:lastModifiedBy>
  <cp:revision>8</cp:revision>
  <cp:lastPrinted>2016-03-31T15:45:00Z</cp:lastPrinted>
  <dcterms:created xsi:type="dcterms:W3CDTF">2020-08-25T14:19:00Z</dcterms:created>
  <dcterms:modified xsi:type="dcterms:W3CDTF">2020-08-25T15:55:00Z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